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 no valor de R$ 180.000,00 (cento e oitenta mil reais) para os fins que especifica e da outras providências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