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Proteção da Infraestrutura Viária e de Gestão da Circulação de Veículos de Carga no Município de Sumaré, estabelece normas para preservação da malha viária, da segurança viária, da mobilidade urbana e da fiscalização do tráfego de veículos de carga,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