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217/2026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Municipal de Proteção da Infraestrutura Viária e de Gestão da Circulação de Veículos de Carga no Município de Sumaré, estabelece normas para preservação da malha viária, da segurança viária, da mobilidade urbana e da fiscalização do tráfego de veículos de carga,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