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454F9DB9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C509C1">
        <w:rPr>
          <w:sz w:val="28"/>
          <w:szCs w:val="28"/>
        </w:rPr>
        <w:t xml:space="preserve">operação </w:t>
      </w:r>
      <w:r w:rsidR="00F548AE">
        <w:rPr>
          <w:sz w:val="28"/>
          <w:szCs w:val="28"/>
        </w:rPr>
        <w:t xml:space="preserve">cata </w:t>
      </w:r>
      <w:r w:rsidR="002F4331">
        <w:rPr>
          <w:sz w:val="28"/>
          <w:szCs w:val="28"/>
        </w:rPr>
        <w:t>galho</w:t>
      </w:r>
      <w:r w:rsidR="008A13C7">
        <w:rPr>
          <w:sz w:val="28"/>
          <w:szCs w:val="28"/>
        </w:rPr>
        <w:t xml:space="preserve"> </w:t>
      </w:r>
      <w:r w:rsidR="008A13C7">
        <w:rPr>
          <w:sz w:val="28"/>
          <w:szCs w:val="28"/>
        </w:rPr>
        <w:t>na</w:t>
      </w:r>
      <w:r w:rsidR="008A13C7">
        <w:rPr>
          <w:sz w:val="28"/>
          <w:szCs w:val="28"/>
        </w:rPr>
        <w:t xml:space="preserve"> Rua Adelina de Jesus Araújo, </w:t>
      </w:r>
      <w:r w:rsidR="002F4331">
        <w:rPr>
          <w:sz w:val="28"/>
          <w:szCs w:val="28"/>
        </w:rPr>
        <w:t>631</w:t>
      </w:r>
      <w:r w:rsidR="00932E56">
        <w:rPr>
          <w:sz w:val="28"/>
          <w:szCs w:val="28"/>
        </w:rPr>
        <w:t xml:space="preserve"> </w:t>
      </w:r>
      <w:r w:rsidR="007428C1">
        <w:rPr>
          <w:sz w:val="28"/>
          <w:szCs w:val="28"/>
        </w:rPr>
        <w:t>– Residencial Bordon II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46195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48DD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955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835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2026-08-13T12:34:00Z</dcterms:created>
  <dcterms:modified xsi:type="dcterms:W3CDTF">2026-08-13T12:34:00Z</dcterms:modified>
</cp:coreProperties>
</file>