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01742" w:rsidRPr="00E01742" w:rsidP="00E01742" w14:paraId="157C6C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01742">
        <w:rPr>
          <w:rFonts w:ascii="Tahoma" w:hAnsi="Tahoma" w:cs="Tahoma"/>
          <w:b/>
          <w:bCs/>
          <w:sz w:val="24"/>
          <w:szCs w:val="24"/>
        </w:rPr>
        <w:t>Cata-treco na Rua Livino Pedroso do Amaral, nº 100, no bairro Parque Bandeirantes II.</w:t>
      </w:r>
    </w:p>
    <w:p w:rsidR="00E01742" w:rsidRPr="00E01742" w:rsidP="00E01742" w14:paraId="615B5C5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01742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FF5986" w:rsidP="00BF4DC1" w14:paraId="7985228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FF5986" w:rsidRPr="00093AC7" w:rsidP="00BF4DC1" w14:paraId="1E3251FD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1128C3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F598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2D01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61259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01742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5986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2026-08-12T13:54:00Z</dcterms:created>
  <dcterms:modified xsi:type="dcterms:W3CDTF">2026-08-12T13:54:00Z</dcterms:modified>
</cp:coreProperties>
</file>