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057B" w14:paraId="1381E0C1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PROJETO DE LEI Nº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>, DE 06 DE AGOSTO DE 2026.</w:t>
      </w:r>
    </w:p>
    <w:p w:rsidR="0077057B" w14:paraId="7897F758" w14:textId="115D605A">
      <w:pPr>
        <w:spacing w:line="240" w:lineRule="auto"/>
        <w:ind w:left="467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"Institui o ‘PIX NA CATRACA</w:t>
      </w:r>
      <w:r w:rsidR="0098632D">
        <w:rPr>
          <w:rFonts w:ascii="Arial" w:eastAsia="Arial" w:hAnsi="Arial" w:cs="Arial"/>
          <w:b/>
          <w:bCs/>
          <w:sz w:val="24"/>
          <w:szCs w:val="24"/>
        </w:rPr>
        <w:t xml:space="preserve"> DE ÔNIBUS</w:t>
      </w:r>
      <w:r>
        <w:rPr>
          <w:rFonts w:ascii="Arial" w:eastAsia="Arial" w:hAnsi="Arial" w:cs="Arial"/>
          <w:b/>
          <w:bCs/>
          <w:sz w:val="24"/>
          <w:szCs w:val="24"/>
        </w:rPr>
        <w:t>”</w:t>
      </w:r>
      <w:r w:rsidR="0098632D">
        <w:rPr>
          <w:rFonts w:ascii="Arial" w:eastAsia="Arial" w:hAnsi="Arial" w:cs="Arial"/>
          <w:b/>
          <w:bCs/>
          <w:sz w:val="24"/>
          <w:szCs w:val="24"/>
        </w:rPr>
        <w:t>, e dá diretrizes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para a </w:t>
      </w:r>
      <w:r w:rsidR="0098632D">
        <w:rPr>
          <w:rFonts w:ascii="Arial" w:eastAsia="Arial" w:hAnsi="Arial" w:cs="Arial"/>
          <w:b/>
          <w:bCs/>
          <w:sz w:val="24"/>
          <w:szCs w:val="24"/>
        </w:rPr>
        <w:t xml:space="preserve">instituição e </w:t>
      </w:r>
      <w:r>
        <w:rPr>
          <w:rFonts w:ascii="Arial" w:eastAsia="Arial" w:hAnsi="Arial" w:cs="Arial"/>
          <w:b/>
          <w:bCs/>
          <w:sz w:val="24"/>
          <w:szCs w:val="24"/>
        </w:rPr>
        <w:t>disponibilização do pagamento da tarifa d</w:t>
      </w:r>
      <w:r w:rsidR="0098632D"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transporte público coletivo municipal</w:t>
      </w:r>
      <w:r w:rsidR="0098632D"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98632D">
        <w:rPr>
          <w:rFonts w:ascii="Arial" w:eastAsia="Arial" w:hAnsi="Arial" w:cs="Arial"/>
          <w:b/>
          <w:bCs/>
          <w:sz w:val="24"/>
          <w:szCs w:val="24"/>
        </w:rPr>
        <w:t>via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pagamento instantâneo (PIX</w:t>
      </w:r>
      <w:r w:rsidR="0098632D">
        <w:rPr>
          <w:rFonts w:ascii="Arial" w:eastAsia="Arial" w:hAnsi="Arial" w:cs="Arial"/>
          <w:b/>
          <w:bCs/>
          <w:sz w:val="24"/>
          <w:szCs w:val="24"/>
        </w:rPr>
        <w:t>) 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dá outras providências."</w:t>
      </w:r>
    </w:p>
    <w:p w:rsidR="0077057B" w14:paraId="78F8E3C0" w14:textId="7777777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77057B" w14:paraId="7F463575" w14:textId="77777777">
      <w:pPr>
        <w:spacing w:after="0" w:line="240" w:lineRule="auto"/>
        <w:ind w:left="467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Autoria: Vereador Dudu Lima.</w:t>
      </w:r>
    </w:p>
    <w:p w:rsidR="0077057B" w14:paraId="437DBB52" w14:textId="77777777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77057B" w14:paraId="49880F55" w14:textId="77777777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77057B" w14:paraId="1E70D719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sanciono e promulgo a seguinte Lei:</w:t>
      </w:r>
    </w:p>
    <w:p w:rsidR="00527B86" w14:paraId="1F8E5532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7057B" w14:paraId="69F897D2" w14:textId="7ED65EF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Fica instituída, no âmbito do Município de Sumaré, a diretriz para a modernização dos meios de pagamento da tarifa do serviço público de transporte coletivo urbano, mediante a disponibilização do sistema de pagamento instantâneo PIX, inclusive por meio de código QR (QR </w:t>
      </w:r>
      <w:r w:rsidRPr="00600566">
        <w:rPr>
          <w:rFonts w:ascii="Arial" w:eastAsia="Arial" w:hAnsi="Arial" w:cs="Arial"/>
          <w:sz w:val="24"/>
          <w:szCs w:val="24"/>
        </w:rPr>
        <w:t>Cod</w:t>
      </w:r>
      <w:r w:rsidRPr="00600566" w:rsidR="00B922E6">
        <w:rPr>
          <w:rFonts w:ascii="Arial" w:eastAsia="Arial" w:hAnsi="Arial" w:cs="Arial"/>
          <w:sz w:val="24"/>
          <w:szCs w:val="24"/>
        </w:rPr>
        <w:t>e</w:t>
      </w:r>
      <w:r w:rsidR="00E149CE">
        <w:rPr>
          <w:rFonts w:ascii="Arial" w:eastAsia="Arial" w:hAnsi="Arial" w:cs="Arial"/>
          <w:sz w:val="24"/>
          <w:szCs w:val="24"/>
        </w:rPr>
        <w:t>).</w:t>
      </w:r>
    </w:p>
    <w:p w:rsidR="0077057B" w14:paraId="00E546E8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 disponibilização prevista nesta Lei possui caráter complementar, não substituindo as modalidades de pagamento já existentes, de modo a preservar a universalidade do acesso ao serviço.</w:t>
      </w:r>
    </w:p>
    <w:p w:rsidR="0077057B" w14:paraId="76DDF02B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A implementação dos meios de pagamento de que trata esta Lei observará os seguintes princípios:</w:t>
      </w:r>
      <w:r>
        <w:rPr>
          <w:rFonts w:ascii="Arial" w:eastAsia="Arial" w:hAnsi="Arial" w:cs="Arial"/>
          <w:sz w:val="24"/>
          <w:szCs w:val="24"/>
        </w:rPr>
        <w:br/>
        <w:t>I – promoção da acessibilidade e da inclusão dos usuários;</w:t>
      </w:r>
      <w:r>
        <w:rPr>
          <w:rFonts w:ascii="Arial" w:eastAsia="Arial" w:hAnsi="Arial" w:cs="Arial"/>
          <w:sz w:val="24"/>
          <w:szCs w:val="24"/>
        </w:rPr>
        <w:br/>
        <w:t>II – eficiência, segurança e celeridade nas operações de embarque;</w:t>
      </w:r>
      <w:r>
        <w:rPr>
          <w:rFonts w:ascii="Arial" w:eastAsia="Arial" w:hAnsi="Arial" w:cs="Arial"/>
          <w:sz w:val="24"/>
          <w:szCs w:val="24"/>
        </w:rPr>
        <w:br/>
        <w:t>III – incentivo à inovação tecnológica na prestação do serviço público;</w:t>
      </w:r>
      <w:r>
        <w:rPr>
          <w:rFonts w:ascii="Arial" w:eastAsia="Arial" w:hAnsi="Arial" w:cs="Arial"/>
          <w:sz w:val="24"/>
          <w:szCs w:val="24"/>
        </w:rPr>
        <w:br/>
        <w:t>IV – ampliação das alternativas de pagamento ao usuário;</w:t>
      </w:r>
      <w:r>
        <w:rPr>
          <w:rFonts w:ascii="Arial" w:eastAsia="Arial" w:hAnsi="Arial" w:cs="Arial"/>
          <w:sz w:val="24"/>
          <w:szCs w:val="24"/>
        </w:rPr>
        <w:br/>
        <w:t>V – observância da legislação federal aplicável, especialmente das normas expedidas pelo Banco Central do Brasil relativas ao sistema PIX;</w:t>
      </w:r>
      <w:r>
        <w:rPr>
          <w:rFonts w:ascii="Arial" w:eastAsia="Arial" w:hAnsi="Arial" w:cs="Arial"/>
          <w:sz w:val="24"/>
          <w:szCs w:val="24"/>
        </w:rPr>
        <w:br/>
        <w:t>VI – preservação da continuidade, modicidade tarifária e qualidade do serviço público;</w:t>
      </w:r>
      <w:r>
        <w:rPr>
          <w:rFonts w:ascii="Arial" w:eastAsia="Arial" w:hAnsi="Arial" w:cs="Arial"/>
          <w:sz w:val="24"/>
          <w:szCs w:val="24"/>
        </w:rPr>
        <w:br/>
        <w:t>VII – garantia da proteção, integridade e autenticidade dos dados pessoais dos usuários, em conformidade com a Lei Federal nº 13.709, de 14 de agosto de 2018 (Lei Geral de Proteção de Dados Pessoais – LGPD), e com o Marco Legal do Transporte Público Coletivo Urbano (Lei Federal nº 15.432/2026).</w:t>
      </w:r>
    </w:p>
    <w:p w:rsidR="0077057B" w14:paraId="3B53A32D" w14:textId="463605AA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4º O Poder Executivo Municipal regulamentará a presente Lei no prazo de até </w:t>
      </w:r>
      <w:r w:rsidR="00527B86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 (</w:t>
      </w:r>
      <w:r w:rsidR="00527B86">
        <w:rPr>
          <w:rFonts w:ascii="Arial" w:eastAsia="Arial" w:hAnsi="Arial" w:cs="Arial"/>
          <w:sz w:val="24"/>
          <w:szCs w:val="24"/>
        </w:rPr>
        <w:t>nov</w:t>
      </w:r>
      <w:r>
        <w:rPr>
          <w:rFonts w:ascii="Arial" w:eastAsia="Arial" w:hAnsi="Arial" w:cs="Arial"/>
          <w:sz w:val="24"/>
          <w:szCs w:val="24"/>
        </w:rPr>
        <w:t>enta) dias contado da data de sua publicação, observando:</w:t>
      </w:r>
      <w:r>
        <w:rPr>
          <w:rFonts w:ascii="Arial" w:eastAsia="Arial" w:hAnsi="Arial" w:cs="Arial"/>
          <w:sz w:val="24"/>
          <w:szCs w:val="24"/>
        </w:rPr>
        <w:br/>
        <w:t>I – a compatibilidade com os contratos de concessão, permissão ou demais instrumentos de delegação do serviço público de transporte coletivo;</w:t>
      </w:r>
      <w:r>
        <w:rPr>
          <w:rFonts w:ascii="Arial" w:eastAsia="Arial" w:hAnsi="Arial" w:cs="Arial"/>
          <w:sz w:val="24"/>
          <w:szCs w:val="24"/>
        </w:rPr>
        <w:br/>
        <w:t>II – os requisitos técnicos e operacionais necessários à implantação do sistema, incluindo a padronização de leitores e a geração de QR Codes estáticos ou dinâmicos nos veículos, terminais ou pontos de acesso;</w:t>
      </w:r>
      <w:r>
        <w:rPr>
          <w:rFonts w:ascii="Arial" w:eastAsia="Arial" w:hAnsi="Arial" w:cs="Arial"/>
          <w:sz w:val="24"/>
          <w:szCs w:val="24"/>
        </w:rPr>
        <w:br/>
        <w:t>III – os padrões mínimos de segurança das transações eletrônicas e a proteção contra fraudes;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IV – a forma de disponibilização dos meios de pagamento nos veículos, terminais ou demais pontos de acesso ao sistema;</w:t>
      </w:r>
      <w:r>
        <w:rPr>
          <w:rFonts w:ascii="Arial" w:eastAsia="Arial" w:hAnsi="Arial" w:cs="Arial"/>
          <w:sz w:val="24"/>
          <w:szCs w:val="24"/>
        </w:rPr>
        <w:br/>
        <w:t>V – cronograma de implantação gradual, quando necessário.</w:t>
      </w:r>
    </w:p>
    <w:p w:rsidR="0077057B" w14:paraId="12A7B69D" w14:textId="662DAE5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1º A implementação tecnológica de que trata esta Lei é de responsabilidade das empresas concessionárias, permissionárias ou autorizatárias do serviço público de transporte coletivo, que deverão custear as adaptações necessárias, </w:t>
      </w:r>
      <w:r w:rsidR="00527B86">
        <w:rPr>
          <w:rFonts w:ascii="Arial" w:eastAsia="Arial" w:hAnsi="Arial" w:cs="Arial"/>
          <w:sz w:val="24"/>
          <w:szCs w:val="24"/>
        </w:rPr>
        <w:t>sendo vedado o</w:t>
      </w:r>
      <w:r>
        <w:rPr>
          <w:rFonts w:ascii="Arial" w:eastAsia="Arial" w:hAnsi="Arial" w:cs="Arial"/>
          <w:sz w:val="24"/>
          <w:szCs w:val="24"/>
        </w:rPr>
        <w:t xml:space="preserve"> repasse automático ao valor da tarifa.</w:t>
      </w:r>
    </w:p>
    <w:p w:rsidR="0077057B" w14:paraId="47156087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Fica vedada a cobrança de qualquer tarifa, taxa, acréscimo ou emolumento ao valor da passagem em razão da utilização do PIX ou de outros meios eletrônicos de pagamento, garantindo-se a isonomia entre as formas de pagamento e a estrita observância da modicidade tarifária.</w:t>
      </w:r>
    </w:p>
    <w:p w:rsidR="0077057B" w14:paraId="181B0508" w14:textId="5881408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</w:t>
      </w:r>
      <w:r w:rsidR="00527B86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O Poder Executivo Municipal poderá celebrar convênios, acordos de cooperação ou instrumentos congêneres com instituições públicas ou privadas, visando à implementação das tecnologias previstas nesta Lei, observado o interesse público e sem prejuízo da responsabilidade primária das concessionárias na viabilização do sistema.</w:t>
      </w:r>
    </w:p>
    <w:p w:rsidR="0077057B" w14:paraId="5F9CD3DA" w14:textId="3B3C9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</w:t>
      </w:r>
      <w:r w:rsidR="00527B86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º As despesas decorrentes da execução desta Lei correrão por conta de dotações orçamentárias próprias vigentes, suplementadas se necessário.</w:t>
      </w:r>
    </w:p>
    <w:p w:rsidR="0077057B" w14:paraId="1E784B22" w14:textId="67C8A86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</w:t>
      </w:r>
      <w:r w:rsidR="00527B86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º </w:t>
      </w:r>
      <w:r w:rsidR="00527B86">
        <w:rPr>
          <w:rFonts w:ascii="Arial" w:eastAsia="Arial" w:hAnsi="Arial" w:cs="Arial"/>
          <w:sz w:val="24"/>
          <w:szCs w:val="24"/>
        </w:rPr>
        <w:t>A implementação das medidas previstas nesta Lei, não implicam, em</w:t>
      </w:r>
      <w:r>
        <w:rPr>
          <w:rFonts w:ascii="Arial" w:eastAsia="Arial" w:hAnsi="Arial" w:cs="Arial"/>
          <w:sz w:val="24"/>
          <w:szCs w:val="24"/>
        </w:rPr>
        <w:t xml:space="preserve"> renovação ou revisão </w:t>
      </w:r>
      <w:r w:rsidR="00527B86">
        <w:rPr>
          <w:rFonts w:ascii="Arial" w:eastAsia="Arial" w:hAnsi="Arial" w:cs="Arial"/>
          <w:sz w:val="24"/>
          <w:szCs w:val="24"/>
        </w:rPr>
        <w:t xml:space="preserve">automática </w:t>
      </w:r>
      <w:r>
        <w:rPr>
          <w:rFonts w:ascii="Arial" w:eastAsia="Arial" w:hAnsi="Arial" w:cs="Arial"/>
          <w:sz w:val="24"/>
          <w:szCs w:val="24"/>
        </w:rPr>
        <w:t>dos contratos de concessão ou permissão do serviço público de transporte coletivo</w:t>
      </w:r>
      <w:r w:rsidR="00527B86">
        <w:rPr>
          <w:rFonts w:ascii="Arial" w:eastAsia="Arial" w:hAnsi="Arial" w:cs="Arial"/>
          <w:sz w:val="24"/>
          <w:szCs w:val="24"/>
        </w:rPr>
        <w:t xml:space="preserve"> ora vigentes</w:t>
      </w:r>
      <w:r>
        <w:rPr>
          <w:rFonts w:ascii="Arial" w:eastAsia="Arial" w:hAnsi="Arial" w:cs="Arial"/>
          <w:sz w:val="24"/>
          <w:szCs w:val="24"/>
        </w:rPr>
        <w:t>.</w:t>
      </w:r>
    </w:p>
    <w:p w:rsidR="0077057B" w14:paraId="07E71146" w14:textId="1C9F7803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</w:t>
      </w:r>
      <w:r w:rsidR="00527B86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º Esta Lei entra em vigor na data de sua publicação.</w:t>
      </w:r>
    </w:p>
    <w:p w:rsidR="0077057B" w14:paraId="468E6D91" w14:textId="77777777">
      <w:pPr>
        <w:spacing w:line="240" w:lineRule="auto"/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06 de agosto de 2026.</w:t>
      </w:r>
    </w:p>
    <w:p w:rsidR="0077057B" w14:paraId="610E23EC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2779868" cy="1206358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0335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7057B" w14:paraId="7685032D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77057B" w14:paraId="67D7CB82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presente Projeto de Lei tem por finalidade promover a modernização do sistema de transporte público coletivo do Município de Sumaré, ampliando as formas de pagamento da tarifa mediante a utilização do PIX, sistema de pagamento instantâneo desenvolvido e regulamentado pelo Banco Central do Brasil.</w:t>
      </w:r>
    </w:p>
    <w:p w:rsidR="0077057B" w14:paraId="5CA7254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transformação digital dos serviços públicos representa uma importante ferramenta para ampliar a eficiência administrativa, facilitar o acesso da população aos serviços essenciais e proporcionar maior comodidade aos cidadãos. Nesse contexto, o transporte coletivo urbano deve acompanhar a evolução tecnológica observada em diversos setores da economia e da administração pública.</w:t>
      </w:r>
    </w:p>
    <w:p w:rsidR="0077057B" w14:paraId="134EC41B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PIX consolidou-se como um dos meios de pagamento mais utilizados pela população brasileira, em razão de sua rapidez, segurança, disponibilidade ininterrupta e ampla utilização pela sociedade. Sua adoção como modalidade complementar de pagamento da tarifa possibilita maior praticidade aos usuários, especialmente àqueles que utilizam o transporte de forma eventual, visitantes da cidade ou cidadãos que não dispõem de cartão de transporte previamente carregado.</w:t>
      </w:r>
    </w:p>
    <w:p w:rsidR="0077057B" w14:paraId="4FC5FE13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proposta encontra respaldo nos princípios estabelecidos pela Lei Federal nº 12.587, de 3 de janeiro de 2012, que institui a Política Nacional de Mobilidade Urbana, especialmente aqueles relacionados à melhoria da eficiência e da eficácia na prestação dos serviços públicos de transporte coletivo, à promoção da acessibilidade, da inclusão social e da universalização do acesso aos serviços públicos essenciais.</w:t>
      </w:r>
    </w:p>
    <w:p w:rsidR="0077057B" w14:paraId="79B0F691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 mesma forma, o Marco Legal do Transporte Público Coletivo Urbano (Lei Federal nº 15.432/2026) reforça a necessidade de modernização dos sistemas de transporte, da incorporação de novas tecnologias, da melhoria da experiência do usuário e da ampliação dos instrumentos que contribuam para a eficiência operacional e financeira dos serviços públicos de mobilidade urbana. A legislação reconhece que a inovação tecnológica constitui elemento essencial para a qualificação dos serviços prestados à população, devendo ser acompanhada de salvaguardas que assegurem a proteção dos dados pessoais dos usuários e a manutenção do equilíbrio econômico-financeiro dos contratos.</w:t>
      </w:r>
    </w:p>
    <w:p w:rsidR="0077057B" w14:paraId="14F00673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a presente proposição estabelece diretrizes claras para a implementação do PIX e de outros meios eletrônicos, fixando princípios como a acessibilidade, a eficiência, a segurança das transações e a proteção de dados, em conformidade com a Lei Geral de Proteção de Dados (LGPD). Além disso, atribui ao Poder Executivo o prazo de 180 dias para regulamentar a medida, garantindo que a sua execução ocorra de forma planejada e transparente.</w:t>
      </w:r>
    </w:p>
    <w:p w:rsidR="0077057B" w14:paraId="5734214C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assegurar a isonomia entre os usuários e a modicidade tarifária, o projeto veda expressamente a cobrança de qualquer acréscimo ou taxa pelo uso do PIX, de modo que o valor da passagem seja exatamente o mesmo, independentemente da forma de pagamento escolhida. A responsabilidade pela viabilização tecnológica recai sobre as concessionárias, que deverão promover as adaptações necessárias, observado o equilíbrio econômico-financeiro dos contratos vigentes.</w:t>
      </w:r>
    </w:p>
    <w:p w:rsidR="0077057B" w14:paraId="05EE514E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Destaca-se que a medida não interfere na gestão administrativa do sistema nem altera contratos em vigor, limitando-se a estabelecer diretrizes de interesse público, com previsão de implementação preferencial por ocasião da renovação ou revisão contratual, o que confere segurança jurídica e previsibilidade ao poder concedente e às concessionárias.</w:t>
      </w:r>
    </w:p>
    <w:p w:rsidR="0077057B" w14:paraId="22B1D80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Diversas iniciativas semelhantes vêm sendo discutidas em âmbito nacional, estadual e municipal, evidenciando uma tendência de modernização dos sistemas de transporte coletivo mediante a incorporação de novas formas de pagamento eletrônico, buscando reduzir barreiras de acesso e tornar o serviço mais eficiente e compatível com os hábitos atuais da população.</w:t>
      </w:r>
    </w:p>
    <w:p w:rsidR="0077057B" w14:paraId="1BB880D2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Sob a ótica do interesse público, a medida representa um avanço na política municipal de mobilidade urbana, promovendo inovação, desburocratização, inclusão digital e melhoria da experiência dos usuários, sem excluir os meios de pagamento já existentes.</w:t>
      </w:r>
    </w:p>
    <w:p w:rsidR="0077057B" w14:paraId="1032C5B1" w14:textId="77777777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considerando os benefícios à população, a compatibilidade da matéria com os princípios da Política Nacional de Mobilidade Urbana e com o novo Marco Legal do Transporte Público Coletivo Urbano, submetemos o presente Projeto de Lei à apreciação desta Casa Legislativa, esperando contar com o apoio dos Nobres Vereadores para sua aprovação.</w:t>
      </w:r>
    </w:p>
    <w:p w:rsidR="0077057B" w14:paraId="06D6E322" w14:textId="77777777">
      <w:pPr>
        <w:spacing w:line="240" w:lineRule="auto"/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06 de agosto de 2026.</w:t>
      </w:r>
    </w:p>
    <w:p w:rsidR="0077057B" w14:paraId="7CD43BEE" w14:textId="77777777">
      <w:pPr>
        <w:spacing w:line="240" w:lineRule="auto"/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77057B" w14:paraId="750C1C95" w14:textId="77777777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3017993" cy="1305078"/>
            <wp:effectExtent l="0" t="0" r="0" b="0"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862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4B9BE7-4B42-41F1-840E-FB1DB69476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119EE19-F80A-46F6-B883-4E98B6F5E0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210145A-0C5E-4956-A869-4D9754968E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57B" w14:paraId="3C507DB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77057B" w14:paraId="1AF39C6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6" name="Conector de Seta Reta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101600</wp:posOffset>
              </wp:positionV>
              <wp:extent cx="38100" cy="38100"/>
              <wp:effectExtent l="0" t="0" r="0" b="0"/>
              <wp:wrapNone/>
              <wp:docPr id="15972587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64992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77057B" w14:paraId="0EC3FC74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57B" w14:paraId="3A678D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057B" w14:paraId="163E2584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3424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" name="Agrupar 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979864327" name="Agrupar 979864327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735192169" name="Retângulo 73519216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7057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017054137" name="Agrupar 101705413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554748306" name="Retângulo 155474830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7057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682521513" name="Agrupar 168252151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297925524" name="Retângulo 297925524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7057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201596565" name="Agrupar 120159656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5241133" name="Retângulo 5241133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057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957661433" name="Agrupar 1957661433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555808497" name="Retângulo 555808497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77057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6742350" name="Agrupar 116742350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041719361" name="Retângulo 1041719361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77057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389733195" name="Agrupar 1389733195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914342700" name="Retângulo 1914342700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77057B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26337290" name="Agrupar 26337290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468145560" name="Retângulo 468145560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77057B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165610104" name="Forma Livre: Forma 1165610104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02047237" name="Forma Livre: Forma 2102047237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613400083" name="Forma Livre: Forma 613400083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7" o:spid="_x0000_s2049" style="width:595.1pt;height:808.7pt;margin-top:0;margin-left:-65pt;mso-wrap-distance-left:0;mso-wrap-distance-right:0;position:absolute;z-index:-251655168" coordorigin="15671,0" coordsize="75577,75600">
              <v:group id="Agrupar 979864327" o:spid="_x0000_s2050" style="width:75577;height:75600;left:15671;position:absolute" coordorigin="15671,0" coordsize="75577,75600">
                <v:rect id="Retângulo 735192169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77057B" w14:paraId="2C0CB091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017054137" o:spid="_x0000_s2052" style="width:75577;height:75600;left:15671;position:absolute" coordorigin="15671,0" coordsize="75577,75600">
                  <v:rect id="Retângulo 155474830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77057B" w14:paraId="5BD695E7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682521513" o:spid="_x0000_s2054" style="width:75577;height:75600;left:15671;position:absolute" coordorigin="15671,0" coordsize="75577,75600">
                    <v:rect id="Retângulo 297925524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77057B" w14:paraId="38CAA4F1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201596565" o:spid="_x0000_s2056" style="width:75577;height:75600;left:15671;position:absolute" coordorigin="15671,0" coordsize="75577,75600">
                      <v:rect id="Retângulo 5241133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77057B" w14:paraId="506D799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957661433" o:spid="_x0000_s2058" style="width:75577;height:75600;left:15671;position:absolute" coordorigin="15671,0" coordsize="75577,75600">
                        <v:rect id="Retângulo 555808497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77057B" w14:paraId="0AF712F9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6742350" o:spid="_x0000_s2060" style="width:75577;height:75600;left:15671;position:absolute" coordorigin="15671,0" coordsize="75577,75600">
                          <v:rect id="Retângulo 1041719361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77057B" w14:paraId="5A4BA48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389733195" o:spid="_x0000_s2062" style="width:75577;height:75600;left:15671;position:absolute" coordorigin="15671,0" coordsize="75577,75600">
                            <v:rect id="Retângulo 1914342700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77057B" w14:paraId="184CCB14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26337290" o:spid="_x0000_s2064" style="width:75577;height:75600;left:15671;position:absolute" coordsize="75577,102703">
                              <v:rect id="Retângulo 468145560" o:spid="_x0000_s2065" style="width:75577;height:102703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77057B" w14:paraId="7FC993D0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shape id="Forma Livre: Forma 1165610104" o:spid="_x0000_s206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<v:path arrowok="t" o:extrusionok="f"/>
                              </v:shape>
                              <v:shape id="Forma Livre: Forma 2102047237" o:spid="_x0000_s206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<v:path arrowok="t" o:extrusionok="f"/>
                              </v:shape>
                              <v:shape id="Forma Livre: Forma 613400083" o:spid="_x0000_s206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<v:path arrowok="t" o:extrusionok="f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57B"/>
    <w:rsid w:val="001204E4"/>
    <w:rsid w:val="0019078C"/>
    <w:rsid w:val="00527B86"/>
    <w:rsid w:val="00600566"/>
    <w:rsid w:val="0077057B"/>
    <w:rsid w:val="007B4BBA"/>
    <w:rsid w:val="008D4CB7"/>
    <w:rsid w:val="0098632D"/>
    <w:rsid w:val="00B922E6"/>
    <w:rsid w:val="00D01B7B"/>
    <w:rsid w:val="00D408A0"/>
    <w:rsid w:val="00D73E73"/>
    <w:rsid w:val="00E149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C848665-DD14-4557-8560-82633722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WYk5sWX2cFZxVw4nUsuu2256AQ==">CgMxLjAyCGguZ2pkZ3hzOAByITE1aGtTTF9lTDRlTW9sT19XNGhzM0FmdVRETHFJeXlERg==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1338</Words>
  <Characters>7226</Characters>
  <Application>Microsoft Office Word</Application>
  <DocSecurity>0</DocSecurity>
  <Lines>60</Lines>
  <Paragraphs>17</Paragraphs>
  <ScaleCrop>false</ScaleCrop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- Gabinete 03 - CMS</dc:creator>
  <cp:lastModifiedBy>Wesley - Compras - CMS</cp:lastModifiedBy>
  <cp:revision>8</cp:revision>
  <dcterms:created xsi:type="dcterms:W3CDTF">2026-08-07T13:10:00Z</dcterms:created>
  <dcterms:modified xsi:type="dcterms:W3CDTF">2026-08-10T16:54:00Z</dcterms:modified>
</cp:coreProperties>
</file>