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Vistoria Fiscal e Ambiental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174 -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Vistoria Fiscal e Ambiental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174 -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presente solicitação é motivada por constantes reclamações de moradores da vizinhança, que relatam incômodo excessivo e perturbação do sossego devido ao barulho incessante de máquinas operando durante todo o dia no referido endereço. 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556763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9853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56C7094-F83F-4A23-8801-371B6D685F5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6E01D78-885C-4A36-9078-6F4270FB23A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410419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619178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3115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988131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33014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1144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