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200/2026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a Politica Municipal de Incentivo à Mobilidade Eletrica Sustentável.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