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200/2026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instituir a Politica Municipal de Incentivo à Mobilidade Eletrica Sustentável.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