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vedação da veiculação de publicidade de plataformas de apostas de quota fixa (“bets”) em meios de publicidade.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