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BD6FDA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E617C1">
        <w:rPr>
          <w:sz w:val="28"/>
          <w:szCs w:val="28"/>
        </w:rPr>
        <w:t>treco</w:t>
      </w:r>
      <w:r w:rsidR="00CC5A27">
        <w:rPr>
          <w:sz w:val="28"/>
          <w:szCs w:val="28"/>
        </w:rPr>
        <w:t xml:space="preserve"> na Rua Porto Nacional, </w:t>
      </w:r>
      <w:r w:rsidR="00E617C1">
        <w:rPr>
          <w:sz w:val="28"/>
          <w:szCs w:val="28"/>
        </w:rPr>
        <w:t>1</w:t>
      </w:r>
      <w:r w:rsidR="00291424">
        <w:rPr>
          <w:sz w:val="28"/>
          <w:szCs w:val="28"/>
        </w:rPr>
        <w:t>0</w:t>
      </w:r>
      <w:r w:rsidR="00E617C1">
        <w:rPr>
          <w:sz w:val="28"/>
          <w:szCs w:val="28"/>
        </w:rPr>
        <w:t>7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076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60ED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2026-07-30T13:19:00Z</dcterms:created>
  <dcterms:modified xsi:type="dcterms:W3CDTF">2026-07-30T13:19:00Z</dcterms:modified>
</cp:coreProperties>
</file>