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5212" w:rsidRPr="0053639F" w:rsidP="00345212" w14:paraId="2087E354" w14:textId="43D6502D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81276361"/>
      <w:permStart w:id="1" w:edGrp="everyone"/>
      <w:r w:rsidRPr="0053639F">
        <w:rPr>
          <w:rFonts w:ascii="Arial" w:eastAsia="Times New Roman" w:hAnsi="Arial" w:cs="Arial"/>
          <w:b/>
          <w:bCs/>
          <w:sz w:val="24"/>
          <w:szCs w:val="24"/>
        </w:rPr>
        <w:t xml:space="preserve">PROJETO DE LEI </w:t>
      </w:r>
      <w:r w:rsidRPr="0053639F">
        <w:rPr>
          <w:rFonts w:ascii="Arial" w:eastAsia="Times New Roman" w:hAnsi="Arial" w:cs="Arial"/>
          <w:b/>
          <w:bCs/>
          <w:sz w:val="24"/>
          <w:szCs w:val="24"/>
        </w:rPr>
        <w:t>N°</w:t>
      </w:r>
      <w:r w:rsidRPr="0053639F" w:rsidR="00EC0DF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53639F">
        <w:rPr>
          <w:rFonts w:ascii="Arial" w:eastAsia="Times New Roman" w:hAnsi="Arial" w:cs="Arial"/>
          <w:b/>
          <w:bCs/>
          <w:sz w:val="24"/>
          <w:szCs w:val="24"/>
        </w:rPr>
        <w:t xml:space="preserve">_______ </w:t>
      </w:r>
      <w:r w:rsidRPr="0053639F" w:rsidR="007C55D9">
        <w:rPr>
          <w:rFonts w:ascii="Arial" w:eastAsia="Times New Roman" w:hAnsi="Arial" w:cs="Arial"/>
          <w:b/>
          <w:bCs/>
          <w:sz w:val="24"/>
          <w:szCs w:val="24"/>
        </w:rPr>
        <w:t xml:space="preserve">de </w:t>
      </w:r>
      <w:r w:rsidRPr="0053639F">
        <w:rPr>
          <w:rFonts w:ascii="Arial" w:eastAsia="Times New Roman" w:hAnsi="Arial" w:cs="Arial"/>
          <w:b/>
          <w:bCs/>
          <w:sz w:val="24"/>
          <w:szCs w:val="24"/>
        </w:rPr>
        <w:t>___</w:t>
      </w:r>
      <w:r w:rsidRPr="0053639F" w:rsidR="00E57AD3">
        <w:rPr>
          <w:rFonts w:ascii="Arial" w:eastAsia="Times New Roman" w:hAnsi="Arial" w:cs="Arial"/>
          <w:b/>
          <w:bCs/>
          <w:sz w:val="24"/>
          <w:szCs w:val="24"/>
        </w:rPr>
        <w:t>_</w:t>
      </w:r>
      <w:r w:rsidRPr="0053639F" w:rsidR="00020BF5">
        <w:rPr>
          <w:rFonts w:ascii="Arial" w:eastAsia="Times New Roman" w:hAnsi="Arial" w:cs="Arial"/>
          <w:b/>
          <w:bCs/>
          <w:sz w:val="24"/>
          <w:szCs w:val="24"/>
        </w:rPr>
        <w:t>_______</w:t>
      </w:r>
      <w:r w:rsidRPr="0053639F" w:rsidR="00E57AD3">
        <w:rPr>
          <w:rFonts w:ascii="Arial" w:eastAsia="Times New Roman" w:hAnsi="Arial" w:cs="Arial"/>
          <w:b/>
          <w:bCs/>
          <w:sz w:val="24"/>
          <w:szCs w:val="24"/>
        </w:rPr>
        <w:t>_</w:t>
      </w:r>
      <w:r w:rsidRPr="0053639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53639F" w:rsidR="00826E51">
        <w:rPr>
          <w:rFonts w:ascii="Arial" w:eastAsia="Times New Roman" w:hAnsi="Arial" w:cs="Arial"/>
          <w:b/>
          <w:bCs/>
          <w:sz w:val="24"/>
          <w:szCs w:val="24"/>
        </w:rPr>
        <w:t>de</w:t>
      </w:r>
      <w:r w:rsidRPr="0053639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53639F">
        <w:rPr>
          <w:rFonts w:ascii="Arial" w:eastAsia="Times New Roman" w:hAnsi="Arial" w:cs="Arial"/>
          <w:b/>
          <w:bCs/>
          <w:sz w:val="24"/>
          <w:szCs w:val="24"/>
        </w:rPr>
        <w:t>202</w:t>
      </w:r>
      <w:r w:rsidRPr="0053639F" w:rsidR="009F327C">
        <w:rPr>
          <w:rFonts w:ascii="Arial" w:eastAsia="Times New Roman" w:hAnsi="Arial" w:cs="Arial"/>
          <w:b/>
          <w:bCs/>
          <w:sz w:val="24"/>
          <w:szCs w:val="24"/>
        </w:rPr>
        <w:t>6</w:t>
      </w:r>
    </w:p>
    <w:p w:rsidR="00345212" w:rsidRPr="00020BF5" w:rsidP="00345212" w14:paraId="1828C45E" w14:textId="77777777">
      <w:pPr>
        <w:spacing w:after="120" w:line="240" w:lineRule="auto"/>
        <w:jc w:val="center"/>
        <w:rPr>
          <w:rFonts w:ascii="Arial" w:eastAsia="Times New Roman" w:hAnsi="Arial" w:cs="Arial"/>
        </w:rPr>
      </w:pPr>
    </w:p>
    <w:p w:rsidR="0036464C" w:rsidRPr="0053639F" w:rsidP="0036464C" w14:paraId="3319F3E6" w14:textId="77777777">
      <w:pPr>
        <w:spacing w:after="120" w:line="240" w:lineRule="auto"/>
        <w:ind w:left="3540" w:right="37"/>
        <w:jc w:val="both"/>
        <w:rPr>
          <w:rFonts w:ascii="Arial" w:eastAsia="Times New Roman" w:hAnsi="Arial" w:cs="Arial"/>
          <w:sz w:val="24"/>
          <w:szCs w:val="24"/>
        </w:rPr>
      </w:pPr>
      <w:r w:rsidRPr="0053639F">
        <w:rPr>
          <w:rFonts w:ascii="Arial" w:eastAsia="Times New Roman" w:hAnsi="Arial" w:cs="Arial"/>
          <w:sz w:val="24"/>
          <w:szCs w:val="24"/>
        </w:rPr>
        <w:t>Dispõe sobre as diretrizes sanitárias para pontos de água potável de uso coletivo, veda a instalação de bebedouros de jato ascendente e dá outras providências.</w:t>
      </w:r>
    </w:p>
    <w:p w:rsidR="00345212" w:rsidRPr="0053639F" w:rsidP="00345212" w14:paraId="3A323762" w14:textId="1AEDE293">
      <w:pPr>
        <w:spacing w:after="120" w:line="240" w:lineRule="auto"/>
        <w:ind w:left="3540" w:right="37"/>
        <w:jc w:val="right"/>
        <w:rPr>
          <w:rFonts w:ascii="Arial" w:eastAsia="Times New Roman" w:hAnsi="Arial" w:cs="Arial"/>
          <w:sz w:val="24"/>
          <w:szCs w:val="24"/>
        </w:rPr>
      </w:pPr>
      <w:r w:rsidRPr="0053639F">
        <w:rPr>
          <w:rFonts w:ascii="Arial" w:eastAsia="Times New Roman" w:hAnsi="Arial" w:cs="Arial"/>
          <w:b/>
          <w:bCs/>
          <w:sz w:val="24"/>
          <w:szCs w:val="24"/>
        </w:rPr>
        <w:t>Autor</w:t>
      </w:r>
      <w:r w:rsidRPr="0053639F" w:rsidR="007541EB">
        <w:rPr>
          <w:rFonts w:ascii="Arial" w:eastAsia="Times New Roman" w:hAnsi="Arial" w:cs="Arial"/>
          <w:b/>
          <w:bCs/>
          <w:sz w:val="24"/>
          <w:szCs w:val="24"/>
        </w:rPr>
        <w:t>ia</w:t>
      </w:r>
      <w:r w:rsidRPr="0053639F">
        <w:rPr>
          <w:rFonts w:ascii="Arial" w:eastAsia="Times New Roman" w:hAnsi="Arial" w:cs="Arial"/>
          <w:b/>
          <w:bCs/>
          <w:sz w:val="24"/>
          <w:szCs w:val="24"/>
        </w:rPr>
        <w:t xml:space="preserve">: Vereador </w:t>
      </w:r>
      <w:r w:rsidRPr="0053639F" w:rsidR="00F12AAD">
        <w:rPr>
          <w:rFonts w:ascii="Arial" w:eastAsia="Times New Roman" w:hAnsi="Arial" w:cs="Arial"/>
          <w:b/>
          <w:bCs/>
          <w:sz w:val="24"/>
          <w:szCs w:val="24"/>
        </w:rPr>
        <w:t>GERALDO MEDEIROS</w:t>
      </w:r>
    </w:p>
    <w:p w:rsidR="00345212" w:rsidRPr="0053639F" w:rsidP="00345212" w14:paraId="338389D6" w14:textId="77777777">
      <w:pPr>
        <w:spacing w:after="12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3639F">
        <w:rPr>
          <w:rFonts w:ascii="Arial" w:eastAsia="Times New Roman" w:hAnsi="Arial" w:cs="Arial"/>
          <w:sz w:val="24"/>
          <w:szCs w:val="24"/>
        </w:rPr>
        <w:t> </w:t>
      </w:r>
      <w:r w:rsidRPr="0053639F">
        <w:rPr>
          <w:rFonts w:ascii="Arial" w:eastAsia="Times New Roman" w:hAnsi="Arial" w:cs="Arial"/>
          <w:sz w:val="24"/>
          <w:szCs w:val="24"/>
        </w:rPr>
        <w:tab/>
        <w:t> </w:t>
      </w:r>
    </w:p>
    <w:p w:rsidR="00345212" w:rsidRPr="0053639F" w:rsidP="00560CBD" w14:paraId="69FBBEB9" w14:textId="77777777">
      <w:pPr>
        <w:spacing w:before="120" w:after="120" w:line="240" w:lineRule="auto"/>
        <w:ind w:left="1418" w:right="37" w:firstLine="283"/>
        <w:jc w:val="both"/>
        <w:rPr>
          <w:rFonts w:ascii="Arial" w:eastAsia="Times New Roman" w:hAnsi="Arial" w:cs="Arial"/>
          <w:sz w:val="24"/>
          <w:szCs w:val="24"/>
        </w:rPr>
      </w:pPr>
      <w:r w:rsidRPr="0053639F">
        <w:rPr>
          <w:rFonts w:ascii="Arial" w:eastAsia="Times New Roman" w:hAnsi="Arial" w:cs="Arial"/>
          <w:b/>
          <w:bCs/>
          <w:sz w:val="24"/>
          <w:szCs w:val="24"/>
        </w:rPr>
        <w:t>O PREFEITO DO MUNICÍPIO DE SUMARÉ </w:t>
      </w:r>
    </w:p>
    <w:p w:rsidR="00345212" w:rsidRPr="0053639F" w:rsidP="00560CBD" w14:paraId="79D0A867" w14:textId="77777777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639F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:rsidR="00A244CC" w:rsidRPr="0053639F" w:rsidP="00560CBD" w14:paraId="2E5CE2F5" w14:textId="77777777">
      <w:pPr>
        <w:spacing w:before="120" w:after="120" w:line="240" w:lineRule="auto"/>
        <w:ind w:right="43" w:firstLine="1701"/>
        <w:jc w:val="both"/>
        <w:rPr>
          <w:rFonts w:ascii="Arial" w:eastAsia="Times New Roman" w:hAnsi="Arial" w:cs="Arial"/>
          <w:sz w:val="24"/>
          <w:szCs w:val="24"/>
        </w:rPr>
      </w:pPr>
      <w:r w:rsidRPr="0053639F">
        <w:rPr>
          <w:rFonts w:ascii="Arial" w:eastAsia="Times New Roman" w:hAnsi="Arial" w:cs="Arial"/>
          <w:sz w:val="24"/>
          <w:szCs w:val="24"/>
        </w:rPr>
        <w:t>Faço saber que a Câmara Municipal de Sumaré aprovou e eu sanciono a seguinte lei:</w:t>
      </w:r>
    </w:p>
    <w:p w:rsidR="004A596B" w:rsidP="00560CBD" w14:paraId="14CE24A1" w14:textId="77777777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 xml:space="preserve">CAPÍTULO I </w:t>
      </w:r>
    </w:p>
    <w:p w:rsidR="0036464C" w:rsidP="00560CBD" w14:paraId="2D19F496" w14:textId="67F09D44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DAS DISPOSIÇÕES GERAIS E DO PADRÃO SANITÁRIO</w:t>
      </w:r>
    </w:p>
    <w:p w:rsidR="00560CBD" w:rsidRPr="0036464C" w:rsidP="00560CBD" w14:paraId="168B18AD" w14:textId="77777777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6464C" w:rsidRPr="0036464C" w:rsidP="00560CBD" w14:paraId="57C8E8AC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Art. 1º</w:t>
      </w:r>
      <w:r w:rsidRPr="0036464C">
        <w:rPr>
          <w:rFonts w:ascii="Arial" w:eastAsia="Times New Roman" w:hAnsi="Arial" w:cs="Arial"/>
          <w:sz w:val="24"/>
          <w:szCs w:val="24"/>
        </w:rPr>
        <w:t xml:space="preserve"> Esta Lei estabelece as condições de vigilância sanitária e posturas municipais para a instalação, manutenção e funcionamento de pontos de fornecimento de água potável de uso coletivo em estabelecimentos públicos e privados de acesso ao público, no âmbito do Município.</w:t>
      </w:r>
    </w:p>
    <w:p w:rsidR="0036464C" w:rsidRPr="0036464C" w:rsidP="00560CBD" w14:paraId="5192E194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Art. 2º</w:t>
      </w:r>
      <w:r w:rsidRPr="0036464C">
        <w:rPr>
          <w:rFonts w:ascii="Arial" w:eastAsia="Times New Roman" w:hAnsi="Arial" w:cs="Arial"/>
          <w:sz w:val="24"/>
          <w:szCs w:val="24"/>
        </w:rPr>
        <w:t xml:space="preserve"> Fica instituído como padrão técnico sanitário municipal para o consumo humano de água em locais de uso coletivo o modelo de Estação de Abastecimento Descendente.</w:t>
      </w:r>
    </w:p>
    <w:p w:rsidR="0036464C" w:rsidRPr="0053639F" w:rsidP="00560CBD" w14:paraId="0AE4D578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Parágrafo único.</w:t>
      </w:r>
      <w:r w:rsidRPr="0036464C">
        <w:rPr>
          <w:rFonts w:ascii="Arial" w:eastAsia="Times New Roman" w:hAnsi="Arial" w:cs="Arial"/>
          <w:sz w:val="24"/>
          <w:szCs w:val="24"/>
        </w:rPr>
        <w:t xml:space="preserve"> Considera-se Estação de Abastecimento Descendente o equipamento cujo ponto de saída de água funcione exclusivamente por gravidade ou acionamento em fluxo vertical descendente (de cima para baixo), projetado precipuamente para o preenchimento de garrafas, copos e recipientes individuais sem contato físico com o bocal.</w:t>
      </w:r>
    </w:p>
    <w:p w:rsidR="008055F4" w:rsidRPr="0036464C" w:rsidP="00560CBD" w14:paraId="66EB9008" w14:textId="77777777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D3C59" w:rsidP="00560CBD" w14:paraId="5444E3EF" w14:textId="77777777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 xml:space="preserve">CAPÍTULO II </w:t>
      </w:r>
    </w:p>
    <w:p w:rsidR="0036464C" w:rsidP="00560CBD" w14:paraId="07DE02E3" w14:textId="22EF600F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DAS VEDAÇÕES E REQUISITOS DE VIGILÂNCIA SANITÁRIA</w:t>
      </w:r>
    </w:p>
    <w:p w:rsidR="00560CBD" w:rsidRPr="0036464C" w:rsidP="00560CBD" w14:paraId="745F627E" w14:textId="77777777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6464C" w:rsidRPr="0036464C" w:rsidP="00560CBD" w14:paraId="6B216AF8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Art. 3º</w:t>
      </w:r>
      <w:r w:rsidRPr="0036464C">
        <w:rPr>
          <w:rFonts w:ascii="Arial" w:eastAsia="Times New Roman" w:hAnsi="Arial" w:cs="Arial"/>
          <w:sz w:val="24"/>
          <w:szCs w:val="24"/>
        </w:rPr>
        <w:t xml:space="preserve"> É vedada a comercialização, homologação, permissão ou instalação de novos equipamentos para consumo de água potável em locais de uso coletivo que possuam:</w:t>
      </w:r>
    </w:p>
    <w:p w:rsidR="0036464C" w:rsidRPr="0036464C" w:rsidP="00560CBD" w14:paraId="7C11A83F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>I – Jato de água ascendente ou oblíquo direto: por favorecer o refluxo de fluidos corporais, respingos e a aproximação labial indevida ao ponto de saída de água;</w:t>
      </w:r>
    </w:p>
    <w:p w:rsidR="0036464C" w:rsidRPr="0036464C" w:rsidP="00560CBD" w14:paraId="4C707857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>II – Bacias, cubas ou reservatórios abertos de contenção de água: por permitirem a estagnação de líquidos, acúmulo de resíduos orgânicos e contaminação cruzada;</w:t>
      </w:r>
    </w:p>
    <w:p w:rsidR="0036464C" w:rsidRPr="0036464C" w:rsidP="00560CBD" w14:paraId="11C57A66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>III – Ralos de escoamento abertos ou propensos a entupimento: devendo ser adotados sistemas de grelha seca com drenagem direta e canalizada.</w:t>
      </w:r>
    </w:p>
    <w:p w:rsidR="0036464C" w:rsidRPr="0036464C" w:rsidP="00560CBD" w14:paraId="5FF557E5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Art. 4º</w:t>
      </w:r>
      <w:r w:rsidRPr="0036464C">
        <w:rPr>
          <w:rFonts w:ascii="Arial" w:eastAsia="Times New Roman" w:hAnsi="Arial" w:cs="Arial"/>
          <w:sz w:val="24"/>
          <w:szCs w:val="24"/>
        </w:rPr>
        <w:t xml:space="preserve"> Os pontos de fornecimento de água potável para consumo humano deverão ser claramente separados, sinalizados e diferenciados de quaisquer fontes de água destinadas à limpeza, rega ou uso geral.</w:t>
      </w:r>
    </w:p>
    <w:p w:rsidR="0036464C" w:rsidRPr="0036464C" w:rsidP="00560CBD" w14:paraId="6239D8E9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>I – Os locais de água potável deverão conter sinalização visual de fácil identificação e iconografia universal;</w:t>
      </w:r>
    </w:p>
    <w:p w:rsidR="0036464C" w:rsidRPr="0036464C" w:rsidP="00560CBD" w14:paraId="604351FC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>II – A estrutura física do ponto de água para beber deve impedir o encaixe de mangueiras ou a utilização da área para lavagem de mãos, pés, utensílios ou objetos.</w:t>
      </w:r>
    </w:p>
    <w:p w:rsidR="0036464C" w:rsidRPr="0036464C" w:rsidP="00560CBD" w14:paraId="11AD2D9B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Art. 5º</w:t>
      </w:r>
      <w:r w:rsidRPr="0036464C">
        <w:rPr>
          <w:rFonts w:ascii="Arial" w:eastAsia="Times New Roman" w:hAnsi="Arial" w:cs="Arial"/>
          <w:sz w:val="24"/>
          <w:szCs w:val="24"/>
        </w:rPr>
        <w:t xml:space="preserve"> Os equipamentos de fornecimento de água potável deverão dispor de elementos construtivos de proteção contra vetores e pragas urbanas:</w:t>
      </w:r>
    </w:p>
    <w:p w:rsidR="0036464C" w:rsidRPr="0036464C" w:rsidP="00560CBD" w14:paraId="3BBB4CDB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>I – Superfícies superiores com inclinação igual ou superior a 45º (quarenta e cinco graus), de modo a impedir o pouso e a permanência de pombos e outras aves;</w:t>
      </w:r>
    </w:p>
    <w:p w:rsidR="0036464C" w:rsidRPr="0036464C" w:rsidP="00560CBD" w14:paraId="1B803438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>II – Ponto de saída de água protegido em nicho embutido, dificultando o acesso direto da saliva ou focinho de animais domésticos e roedores;</w:t>
      </w:r>
    </w:p>
    <w:p w:rsidR="0036464C" w:rsidRPr="0053639F" w:rsidP="00560CBD" w14:paraId="206006D6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>III – Vedação contínua de tubulações contra a entrada de insetos e pragas.</w:t>
      </w:r>
    </w:p>
    <w:p w:rsidR="008055F4" w:rsidRPr="0036464C" w:rsidP="00560CBD" w14:paraId="2F4CA62B" w14:textId="77777777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:rsidR="00560CBD" w:rsidP="00560CBD" w14:paraId="2D73374E" w14:textId="77777777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 xml:space="preserve">CAPÍTULO III </w:t>
      </w:r>
    </w:p>
    <w:p w:rsidR="0036464C" w:rsidP="00560CBD" w14:paraId="1EF305F4" w14:textId="166B4CEF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DA TRANSPARÊNCIA, MANUTENÇÃO E POÇOS ARTESIANOS</w:t>
      </w:r>
    </w:p>
    <w:p w:rsidR="00560CBD" w:rsidRPr="0036464C" w:rsidP="00560CBD" w14:paraId="186CBC82" w14:textId="77777777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6464C" w:rsidRPr="0036464C" w:rsidP="00560CBD" w14:paraId="6C381CAF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Art. 6º</w:t>
      </w:r>
      <w:r w:rsidRPr="0036464C">
        <w:rPr>
          <w:rFonts w:ascii="Arial" w:eastAsia="Times New Roman" w:hAnsi="Arial" w:cs="Arial"/>
          <w:sz w:val="24"/>
          <w:szCs w:val="24"/>
        </w:rPr>
        <w:t xml:space="preserve"> Os responsáveis por pontos de água potável de uso coletivo alimentados por poços artesianos, águas subterrâneas ou redes locais deverão garantir a manutenção preventiva periódica, a substituição regular dos elementos filtrantes e a desinfecção contínua da água, nos termos da legislação sanitária vigente.</w:t>
      </w:r>
    </w:p>
    <w:p w:rsidR="0036464C" w:rsidRPr="0036464C" w:rsidP="00560CBD" w14:paraId="3FB14482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Art. 7º</w:t>
      </w:r>
      <w:r w:rsidRPr="0036464C">
        <w:rPr>
          <w:rFonts w:ascii="Arial" w:eastAsia="Times New Roman" w:hAnsi="Arial" w:cs="Arial"/>
          <w:sz w:val="24"/>
          <w:szCs w:val="24"/>
        </w:rPr>
        <w:t xml:space="preserve"> Fica obrigatória a afixação de Selo de Garantia Sanitária, em local visível e de fácil leitura junto ao equipamento, contendo:</w:t>
      </w:r>
    </w:p>
    <w:p w:rsidR="0036464C" w:rsidRPr="0036464C" w:rsidP="00560CBD" w14:paraId="0E9E0E77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>I – Data da última troca do filtro ou elemento purificador;</w:t>
      </w:r>
    </w:p>
    <w:p w:rsidR="0036464C" w:rsidRPr="0036464C" w:rsidP="00560CBD" w14:paraId="609D9989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>II – Data da última análise microbiológica e laudo de potabilidade da água;</w:t>
      </w:r>
    </w:p>
    <w:p w:rsidR="0036464C" w:rsidRPr="0036464C" w:rsidP="00560CBD" w14:paraId="1918005A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>III – Identificação do responsável técnico ou empresa encarregada pela manutenção;</w:t>
      </w:r>
    </w:p>
    <w:p w:rsidR="0036464C" w:rsidRPr="0053639F" w:rsidP="00560CBD" w14:paraId="48D23F88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 xml:space="preserve">IV – </w:t>
      </w:r>
      <w:r w:rsidRPr="0036464C">
        <w:rPr>
          <w:rFonts w:ascii="Arial" w:eastAsia="Times New Roman" w:hAnsi="Arial" w:cs="Arial"/>
          <w:i/>
          <w:iCs/>
          <w:sz w:val="24"/>
          <w:szCs w:val="24"/>
        </w:rPr>
        <w:t xml:space="preserve">QR </w:t>
      </w:r>
      <w:r w:rsidRPr="0036464C">
        <w:rPr>
          <w:rFonts w:ascii="Arial" w:eastAsia="Times New Roman" w:hAnsi="Arial" w:cs="Arial"/>
          <w:i/>
          <w:iCs/>
          <w:sz w:val="24"/>
          <w:szCs w:val="24"/>
        </w:rPr>
        <w:t>Code</w:t>
      </w:r>
      <w:r w:rsidRPr="0036464C">
        <w:rPr>
          <w:rFonts w:ascii="Arial" w:eastAsia="Times New Roman" w:hAnsi="Arial" w:cs="Arial"/>
          <w:sz w:val="24"/>
          <w:szCs w:val="24"/>
        </w:rPr>
        <w:t xml:space="preserve"> ou endereço eletrônico para consulta pública aos laudos completos de qualidade da água.</w:t>
      </w:r>
    </w:p>
    <w:p w:rsidR="008055F4" w:rsidRPr="0036464C" w:rsidP="00560CBD" w14:paraId="61DC9717" w14:textId="77777777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:rsidR="00560CBD" w:rsidP="00560CBD" w14:paraId="6A9D9F9A" w14:textId="77777777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 xml:space="preserve">CAPÍTULO IV </w:t>
      </w:r>
    </w:p>
    <w:p w:rsidR="0036464C" w:rsidP="00560CBD" w14:paraId="44DC1F25" w14:textId="0A1BE144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DA TRANSIÇÃO E DIRETRIZES DE ADEQUAÇÃO</w:t>
      </w:r>
    </w:p>
    <w:p w:rsidR="00560CBD" w:rsidRPr="0036464C" w:rsidP="00560CBD" w14:paraId="0722604A" w14:textId="77777777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6464C" w:rsidRPr="0036464C" w:rsidP="00560CBD" w14:paraId="4BA3A702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Art. 8º</w:t>
      </w:r>
      <w:r w:rsidRPr="0036464C">
        <w:rPr>
          <w:rFonts w:ascii="Arial" w:eastAsia="Times New Roman" w:hAnsi="Arial" w:cs="Arial"/>
          <w:sz w:val="24"/>
          <w:szCs w:val="24"/>
        </w:rPr>
        <w:t xml:space="preserve"> Os equipamentos atualmente instalados e em funcionamento que não atendam aos requisitos previstos no Art. 3º desta Lei poderão ser mantidos até o término </w:t>
      </w:r>
      <w:r w:rsidRPr="0036464C">
        <w:rPr>
          <w:rFonts w:ascii="Arial" w:eastAsia="Times New Roman" w:hAnsi="Arial" w:cs="Arial"/>
          <w:sz w:val="24"/>
          <w:szCs w:val="24"/>
        </w:rPr>
        <w:t>de sua vida útil, recomendando-se a sua substituição progressiva por Estações de Abastecimento Descendente quando:</w:t>
      </w:r>
    </w:p>
    <w:p w:rsidR="0036464C" w:rsidRPr="0036464C" w:rsidP="00560CBD" w14:paraId="604AC606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>I – O custo de manutenção preventiva ou reparo for superior a 50% (cinquenta por cento) do valor de um equipamento novo;</w:t>
      </w:r>
    </w:p>
    <w:p w:rsidR="0036464C" w:rsidRPr="0036464C" w:rsidP="00560CBD" w14:paraId="2F9BCD44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>II – Ocorrerem reformas estruturais no imóvel ou espaço onde o equipamento estiver instalado.</w:t>
      </w:r>
    </w:p>
    <w:p w:rsidR="0036464C" w:rsidP="00560CBD" w14:paraId="071E7190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Art. 9º</w:t>
      </w:r>
      <w:r w:rsidRPr="0036464C">
        <w:rPr>
          <w:rFonts w:ascii="Arial" w:eastAsia="Times New Roman" w:hAnsi="Arial" w:cs="Arial"/>
          <w:sz w:val="24"/>
          <w:szCs w:val="24"/>
        </w:rPr>
        <w:t xml:space="preserve"> Enquanto não for realizada a substituição a que se refere o Art. 8º, os responsáveis pelos equipamentos deverão afixar a sinalização orientativa ao usuário e o Selo de Garantia Sanitária previsto no Art. 7º.</w:t>
      </w:r>
    </w:p>
    <w:p w:rsidR="00560CBD" w:rsidRPr="0036464C" w:rsidP="00560CBD" w14:paraId="03A92D78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</w:p>
    <w:p w:rsidR="00560CBD" w:rsidP="00560CBD" w14:paraId="303BBC7D" w14:textId="77777777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 xml:space="preserve">CAPÍTULO V </w:t>
      </w:r>
    </w:p>
    <w:p w:rsidR="0036464C" w:rsidP="00560CBD" w14:paraId="35F75C35" w14:textId="593A64D9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DAS INFRAÇÕES E SANÇÕES ADMINISTRATIVAS</w:t>
      </w:r>
    </w:p>
    <w:p w:rsidR="00560CBD" w:rsidRPr="0036464C" w:rsidP="00560CBD" w14:paraId="5D1122A4" w14:textId="77777777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6464C" w:rsidRPr="0036464C" w:rsidP="00560CBD" w14:paraId="6D992E40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Art. 10.</w:t>
      </w:r>
      <w:r w:rsidRPr="0036464C">
        <w:rPr>
          <w:rFonts w:ascii="Arial" w:eastAsia="Times New Roman" w:hAnsi="Arial" w:cs="Arial"/>
          <w:sz w:val="24"/>
          <w:szCs w:val="24"/>
        </w:rPr>
        <w:t xml:space="preserve"> O descumprimento das disposições desta Lei sujeitará o infrator privado ou o responsável pelo estabelecimento às seguintes penalidades administrativas, aplicadas pela autoridade municipal competente:</w:t>
      </w:r>
    </w:p>
    <w:p w:rsidR="0036464C" w:rsidRPr="0036464C" w:rsidP="00560CBD" w14:paraId="289034A7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>I – Advertência por escrito: com prazo de até 30 (trinta) dias para regularização da sinalização ou do Selo de Garantia Sanitária;</w:t>
      </w:r>
    </w:p>
    <w:p w:rsidR="00560CBD" w:rsidP="00560CBD" w14:paraId="636A76A6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>II – Multa: no valor de 10 (dez) a 100 (cem) Unidades Fiscais do Município (</w:t>
      </w:r>
      <w:r w:rsidRPr="0036464C">
        <w:rPr>
          <w:rFonts w:ascii="Arial" w:eastAsia="Times New Roman" w:hAnsi="Arial" w:cs="Arial"/>
          <w:sz w:val="24"/>
          <w:szCs w:val="24"/>
        </w:rPr>
        <w:t>UFMs</w:t>
      </w:r>
      <w:r w:rsidRPr="0036464C">
        <w:rPr>
          <w:rFonts w:ascii="Arial" w:eastAsia="Times New Roman" w:hAnsi="Arial" w:cs="Arial"/>
          <w:sz w:val="24"/>
          <w:szCs w:val="24"/>
        </w:rPr>
        <w:t>), aplicada em dobro no caso de reincidência;</w:t>
      </w:r>
    </w:p>
    <w:p w:rsidR="0036464C" w:rsidRPr="0053639F" w:rsidP="00560CBD" w14:paraId="30D11725" w14:textId="523F59F2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sz w:val="24"/>
          <w:szCs w:val="24"/>
        </w:rPr>
        <w:t>III – Interdição temporária do ponto de água: até a efetiva adequação aos padrões de higiene e potabilidade.</w:t>
      </w:r>
    </w:p>
    <w:p w:rsidR="008055F4" w:rsidRPr="0036464C" w:rsidP="00560CBD" w14:paraId="378DA879" w14:textId="77777777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:rsidR="00560CBD" w:rsidP="00560CBD" w14:paraId="35C29676" w14:textId="77777777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 xml:space="preserve">CAPÍTULO VI </w:t>
      </w:r>
    </w:p>
    <w:p w:rsidR="0036464C" w:rsidP="00560CBD" w14:paraId="6071ABC0" w14:textId="6EBF2385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DISPOSIÇÕES FINAIS</w:t>
      </w:r>
    </w:p>
    <w:p w:rsidR="00560CBD" w:rsidRPr="0036464C" w:rsidP="00560CBD" w14:paraId="41D34F05" w14:textId="77777777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6464C" w:rsidRPr="0036464C" w:rsidP="00560CBD" w14:paraId="03D6BF44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Art. 11.</w:t>
      </w:r>
      <w:r w:rsidRPr="0036464C">
        <w:rPr>
          <w:rFonts w:ascii="Arial" w:eastAsia="Times New Roman" w:hAnsi="Arial" w:cs="Arial"/>
          <w:sz w:val="24"/>
          <w:szCs w:val="24"/>
        </w:rPr>
        <w:t xml:space="preserve"> O Poder Executivo regulamentará a presente Lei no que couber, especialmente quanto aos procedimentos de fiscalização sanitária municipal.</w:t>
      </w:r>
    </w:p>
    <w:p w:rsidR="0036464C" w:rsidRPr="0036464C" w:rsidP="00560CBD" w14:paraId="6074575D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Art. 12.</w:t>
      </w:r>
      <w:r w:rsidRPr="0036464C">
        <w:rPr>
          <w:rFonts w:ascii="Arial" w:eastAsia="Times New Roman" w:hAnsi="Arial" w:cs="Arial"/>
          <w:sz w:val="24"/>
          <w:szCs w:val="24"/>
        </w:rPr>
        <w:t xml:space="preserve"> As despesas com a execução desta Lei correrão por conta das dotações orçamentárias próprias, suplementadas se necessário.</w:t>
      </w:r>
    </w:p>
    <w:p w:rsidR="0036464C" w:rsidRPr="0036464C" w:rsidP="00560CBD" w14:paraId="6A486572" w14:textId="77777777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6464C">
        <w:rPr>
          <w:rFonts w:ascii="Arial" w:eastAsia="Times New Roman" w:hAnsi="Arial" w:cs="Arial"/>
          <w:b/>
          <w:bCs/>
          <w:sz w:val="24"/>
          <w:szCs w:val="24"/>
        </w:rPr>
        <w:t>Art. 13.</w:t>
      </w:r>
      <w:r w:rsidRPr="0036464C">
        <w:rPr>
          <w:rFonts w:ascii="Arial" w:eastAsia="Times New Roman" w:hAnsi="Arial" w:cs="Arial"/>
          <w:sz w:val="24"/>
          <w:szCs w:val="24"/>
        </w:rPr>
        <w:t xml:space="preserve"> Esta Lei entra em vigor 90 (noventa) dias após a sua publicação.</w:t>
      </w:r>
    </w:p>
    <w:p w:rsidR="00DD1A03" w:rsidRPr="0053639F" w:rsidP="000954A2" w14:paraId="5AC03123" w14:textId="170338DC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53639F" w:rsidP="000954A2" w14:paraId="7B17230C" w14:textId="69F879AC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020BF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2274088</wp:posOffset>
            </wp:positionH>
            <wp:positionV relativeFrom="paragraph">
              <wp:posOffset>290726</wp:posOffset>
            </wp:positionV>
            <wp:extent cx="1504950" cy="575668"/>
            <wp:effectExtent l="0" t="0" r="0" b="0"/>
            <wp:wrapNone/>
            <wp:docPr id="203856565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065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575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639F">
        <w:rPr>
          <w:rFonts w:ascii="Arial" w:hAnsi="Arial" w:cs="Arial"/>
          <w:sz w:val="24"/>
          <w:szCs w:val="24"/>
        </w:rPr>
        <w:t xml:space="preserve">Sumaré, </w:t>
      </w:r>
      <w:r w:rsidRPr="0053639F" w:rsidR="0021003B">
        <w:rPr>
          <w:rFonts w:ascii="Arial" w:hAnsi="Arial" w:cs="Arial"/>
          <w:sz w:val="24"/>
          <w:szCs w:val="24"/>
        </w:rPr>
        <w:t>27</w:t>
      </w:r>
      <w:r w:rsidRPr="0053639F" w:rsidR="001E7146">
        <w:rPr>
          <w:rFonts w:ascii="Arial" w:hAnsi="Arial" w:cs="Arial"/>
          <w:sz w:val="24"/>
          <w:szCs w:val="24"/>
        </w:rPr>
        <w:t xml:space="preserve"> de </w:t>
      </w:r>
      <w:r w:rsidRPr="0053639F" w:rsidR="00697F64">
        <w:rPr>
          <w:rFonts w:ascii="Arial" w:hAnsi="Arial" w:cs="Arial"/>
          <w:sz w:val="24"/>
          <w:szCs w:val="24"/>
        </w:rPr>
        <w:t>ju</w:t>
      </w:r>
      <w:r w:rsidRPr="0053639F" w:rsidR="0021003B">
        <w:rPr>
          <w:rFonts w:ascii="Arial" w:hAnsi="Arial" w:cs="Arial"/>
          <w:sz w:val="24"/>
          <w:szCs w:val="24"/>
        </w:rPr>
        <w:t>l</w:t>
      </w:r>
      <w:r w:rsidRPr="0053639F" w:rsidR="00697F64">
        <w:rPr>
          <w:rFonts w:ascii="Arial" w:hAnsi="Arial" w:cs="Arial"/>
          <w:sz w:val="24"/>
          <w:szCs w:val="24"/>
        </w:rPr>
        <w:t>ho</w:t>
      </w:r>
      <w:r w:rsidRPr="0053639F" w:rsidR="001E7146">
        <w:rPr>
          <w:rFonts w:ascii="Arial" w:hAnsi="Arial" w:cs="Arial"/>
          <w:sz w:val="24"/>
          <w:szCs w:val="24"/>
        </w:rPr>
        <w:t xml:space="preserve"> </w:t>
      </w:r>
      <w:r w:rsidRPr="0053639F">
        <w:rPr>
          <w:rFonts w:ascii="Arial" w:hAnsi="Arial" w:cs="Arial"/>
          <w:sz w:val="24"/>
          <w:szCs w:val="24"/>
        </w:rPr>
        <w:t>de 202</w:t>
      </w:r>
      <w:r w:rsidRPr="0053639F" w:rsidR="00697F64">
        <w:rPr>
          <w:rFonts w:ascii="Arial" w:hAnsi="Arial" w:cs="Arial"/>
          <w:sz w:val="24"/>
          <w:szCs w:val="24"/>
        </w:rPr>
        <w:t>6</w:t>
      </w:r>
      <w:r w:rsidRPr="0053639F">
        <w:rPr>
          <w:rFonts w:ascii="Arial" w:hAnsi="Arial" w:cs="Arial"/>
          <w:sz w:val="24"/>
          <w:szCs w:val="24"/>
        </w:rPr>
        <w:t>.</w:t>
      </w:r>
    </w:p>
    <w:bookmarkEnd w:id="0"/>
    <w:p w:rsidR="00020BF5" w:rsidRPr="00020BF5" w:rsidP="00020BF5" w14:paraId="00ADCF34" w14:textId="1DA8A617">
      <w:pPr>
        <w:spacing w:before="240" w:after="240" w:line="240" w:lineRule="auto"/>
        <w:jc w:val="center"/>
        <w:rPr>
          <w:rFonts w:ascii="Arial" w:hAnsi="Arial" w:cs="Arial"/>
          <w:bCs/>
        </w:rPr>
      </w:pPr>
    </w:p>
    <w:p w:rsidR="000954A2" w:rsidRPr="008055F4" w:rsidP="000954A2" w14:paraId="6938C719" w14:textId="768B5203">
      <w:pPr>
        <w:spacing w:after="0"/>
        <w:jc w:val="center"/>
        <w:rPr>
          <w:rFonts w:ascii="Arial" w:hAnsi="Arial" w:cs="Arial"/>
          <w:bCs/>
        </w:rPr>
      </w:pPr>
      <w:r w:rsidRPr="008055F4">
        <w:rPr>
          <w:rFonts w:ascii="Arial" w:hAnsi="Arial" w:cs="Arial"/>
          <w:bCs/>
        </w:rPr>
        <w:t>Geraldo Medeiros</w:t>
      </w:r>
    </w:p>
    <w:p w:rsidR="00345212" w:rsidRPr="00020BF5" w:rsidP="000954A2" w14:paraId="423B0125" w14:textId="40465377">
      <w:pPr>
        <w:spacing w:after="0"/>
        <w:jc w:val="center"/>
        <w:rPr>
          <w:rFonts w:ascii="Arial" w:hAnsi="Arial" w:cs="Arial"/>
          <w:b/>
        </w:rPr>
      </w:pPr>
      <w:r w:rsidRPr="00020BF5">
        <w:rPr>
          <w:rFonts w:ascii="Arial" w:hAnsi="Arial" w:cs="Arial"/>
          <w:b/>
        </w:rPr>
        <w:t>Vereador</w:t>
      </w:r>
    </w:p>
    <w:p w:rsidR="00345212" w:rsidRPr="00471995" w:rsidP="00020BF5" w14:paraId="26FC1C8D" w14:textId="3447AFEE">
      <w:pPr>
        <w:jc w:val="center"/>
        <w:rPr>
          <w:rFonts w:ascii="Arial" w:eastAsia="Times New Roman" w:hAnsi="Arial" w:cs="Arial"/>
        </w:rPr>
      </w:pPr>
      <w:r w:rsidRPr="00AB2B7D">
        <w:rPr>
          <w:rFonts w:ascii="Arial" w:hAnsi="Arial" w:cs="Arial"/>
          <w:b/>
          <w:sz w:val="24"/>
          <w:szCs w:val="24"/>
        </w:rPr>
        <w:br w:type="page"/>
      </w:r>
      <w:r w:rsidRPr="00471995">
        <w:rPr>
          <w:rFonts w:ascii="Arial" w:eastAsia="Times New Roman" w:hAnsi="Arial" w:cs="Arial"/>
          <w:b/>
          <w:bCs/>
        </w:rPr>
        <w:t>JUSTIFICATIVA</w:t>
      </w:r>
    </w:p>
    <w:p w:rsidR="009F280D" w:rsidP="00974CEA" w14:paraId="280A1F6F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</w:p>
    <w:p w:rsidR="00974CEA" w:rsidRPr="0006498A" w:rsidP="00974CEA" w14:paraId="2C35C66B" w14:textId="335A3E05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 w:rsidRPr="0006498A">
        <w:rPr>
          <w:rFonts w:ascii="Arial" w:hAnsi="Arial" w:cs="Arial"/>
          <w:bCs/>
        </w:rPr>
        <w:t>Senhor Presidente,</w:t>
      </w:r>
    </w:p>
    <w:p w:rsidR="00974CEA" w:rsidRPr="0006498A" w:rsidP="00974CEA" w14:paraId="2609BA4F" w14:textId="0294A9EB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 w:rsidRPr="0006498A">
        <w:rPr>
          <w:rFonts w:ascii="Arial" w:hAnsi="Arial" w:cs="Arial"/>
          <w:bCs/>
        </w:rPr>
        <w:t>Senhores Vereadores,</w:t>
      </w:r>
    </w:p>
    <w:p w:rsidR="00974CEA" w:rsidRPr="0006498A" w:rsidP="00974CEA" w14:paraId="6C2C1C76" w14:textId="75E7D69B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Pr="0006498A">
        <w:rPr>
          <w:rFonts w:ascii="Arial" w:hAnsi="Arial" w:cs="Arial"/>
          <w:bCs/>
        </w:rPr>
        <w:t xml:space="preserve"> presente Projeto de Lei dispõe sobre a modernização e o regramento de vigilância sanitária para o fornecimento de água potável em locais de uso coletivo públicos e privados no Município de Sumaré. A proposição visa adequar a infraestrutura municipal às melhores práticas globais de biossegurança, eliminando vetores históricos de contaminação e assegurando o direito do cidadão ao consumo de água com comprovada qualidade e segurança.</w:t>
      </w:r>
    </w:p>
    <w:p w:rsidR="00974CEA" w:rsidRPr="0006498A" w:rsidP="00974CEA" w14:paraId="65356207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 w:rsidRPr="0006498A">
        <w:rPr>
          <w:rFonts w:ascii="Arial" w:hAnsi="Arial" w:cs="Arial"/>
          <w:bCs/>
        </w:rPr>
        <w:t>A iniciativa fundamenta-se na necessidade premente de superar o modelo defasado de bebedouros de jato ascendente e bacia de retenção. Estudos de vigilância epidemiológica e microbiológica demonstram que tais estruturas propiciam o acúmulo de biofilmes bacterianos, o refluxo de fluidos corporais para a saída de água e a estagnação de resíduos nas bacias e ralos. Ademais, a ausência de barreiras físicas nesses equipamentos atrai vetores urbanos, como pombos e roedores, agravando os riscos de transmissão de enfermidades graves, a exemplo da leptospirose, salmonelose e criptococose, sobretudo em locais alimentados por poços artesianos sem cloração contínua.</w:t>
      </w:r>
    </w:p>
    <w:p w:rsidR="00974CEA" w:rsidRPr="0006498A" w:rsidP="00974CEA" w14:paraId="7FF72598" w14:textId="048A28FA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 w:rsidRPr="0006498A">
        <w:rPr>
          <w:rFonts w:ascii="Arial" w:hAnsi="Arial" w:cs="Arial"/>
          <w:bCs/>
        </w:rPr>
        <w:t>Sob a ótica constitucional e normativa, a proposição encontra rigoroso amparo nos artigos 30, incisos I e II</w:t>
      </w:r>
      <w:r w:rsidRPr="0006498A" w:rsidR="00BE633E">
        <w:rPr>
          <w:rFonts w:ascii="Arial" w:hAnsi="Arial" w:cs="Arial"/>
          <w:bCs/>
        </w:rPr>
        <w:t xml:space="preserve"> (</w:t>
      </w:r>
      <w:r w:rsidRPr="0006498A" w:rsidR="00BE633E">
        <w:rPr>
          <w:rFonts w:ascii="Arial" w:hAnsi="Arial" w:cs="Arial"/>
          <w:bCs/>
        </w:rPr>
        <w:t>competência municipal sobre interesse local)</w:t>
      </w:r>
      <w:r w:rsidRPr="0006498A">
        <w:rPr>
          <w:rFonts w:ascii="Arial" w:hAnsi="Arial" w:cs="Arial"/>
          <w:bCs/>
        </w:rPr>
        <w:t>, e 198 da Constituição Federal</w:t>
      </w:r>
      <w:r w:rsidRPr="0006498A" w:rsidR="00BE633E">
        <w:rPr>
          <w:rFonts w:ascii="Arial" w:hAnsi="Arial" w:cs="Arial"/>
          <w:bCs/>
        </w:rPr>
        <w:t xml:space="preserve"> </w:t>
      </w:r>
      <w:r w:rsidRPr="0006498A" w:rsidR="00BE633E">
        <w:rPr>
          <w:rFonts w:ascii="Arial" w:hAnsi="Arial" w:cs="Arial"/>
          <w:bCs/>
        </w:rPr>
        <w:t>(diretriz constitucional do SUS de atuação preventiva e descentralizada)</w:t>
      </w:r>
      <w:r w:rsidRPr="0006498A">
        <w:rPr>
          <w:rFonts w:ascii="Arial" w:hAnsi="Arial" w:cs="Arial"/>
          <w:bCs/>
        </w:rPr>
        <w:t>, bem como no artigo 6º da Lei Orgânica do Município de Sumaré</w:t>
      </w:r>
      <w:r w:rsidRPr="0006498A" w:rsidR="0080392E">
        <w:rPr>
          <w:rFonts w:ascii="Arial" w:hAnsi="Arial" w:cs="Arial"/>
          <w:bCs/>
        </w:rPr>
        <w:t xml:space="preserve"> </w:t>
      </w:r>
      <w:r w:rsidRPr="0006498A" w:rsidR="0080392E">
        <w:rPr>
          <w:rFonts w:ascii="Arial" w:hAnsi="Arial" w:cs="Arial"/>
          <w:bCs/>
        </w:rPr>
        <w:t>que impõe ao Poder Público o dever de assegurar o bem-estar e condições dignas de existência à sua população</w:t>
      </w:r>
      <w:r w:rsidRPr="0006498A" w:rsidR="00330590">
        <w:rPr>
          <w:rFonts w:ascii="Arial" w:hAnsi="Arial" w:cs="Arial"/>
          <w:bCs/>
        </w:rPr>
        <w:t xml:space="preserve">. </w:t>
      </w:r>
    </w:p>
    <w:p w:rsidR="00974CEA" w:rsidRPr="0006498A" w:rsidP="00974CEA" w14:paraId="510358FB" w14:textId="33DB1924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 w:rsidRPr="0006498A">
        <w:rPr>
          <w:rFonts w:ascii="Arial" w:hAnsi="Arial" w:cs="Arial"/>
          <w:bCs/>
        </w:rPr>
        <w:t xml:space="preserve">No tocante à viabilidade econômica e fiscal, o projeto pauta-se pelo princípio da responsabilidade e da razoabilidade. A proposta não impõe o descarte prematuro do maquinário em funcionamento, prevendo a substituição progressiva por Estações de Abastecimento Descendente apenas ao término da vida útil do equipamento ou por ocasião de reformas estruturais. Sob a perspectiva da gestão pública, a prevenção de doenças veiculadas pela água reduz diretamente a demanda por atendimentos ambulatoriais e medicamentos na rede municipal de saúde, desonerando as </w:t>
      </w:r>
      <w:r w:rsidR="0006498A">
        <w:rPr>
          <w:rFonts w:ascii="Arial" w:hAnsi="Arial" w:cs="Arial"/>
          <w:bCs/>
        </w:rPr>
        <w:t>u</w:t>
      </w:r>
      <w:r w:rsidRPr="0006498A">
        <w:rPr>
          <w:rFonts w:ascii="Arial" w:hAnsi="Arial" w:cs="Arial"/>
          <w:bCs/>
        </w:rPr>
        <w:t xml:space="preserve">nidades de </w:t>
      </w:r>
      <w:r w:rsidR="0006498A">
        <w:rPr>
          <w:rFonts w:ascii="Arial" w:hAnsi="Arial" w:cs="Arial"/>
          <w:bCs/>
        </w:rPr>
        <w:t>s</w:t>
      </w:r>
      <w:r w:rsidRPr="0006498A">
        <w:rPr>
          <w:rFonts w:ascii="Arial" w:hAnsi="Arial" w:cs="Arial"/>
          <w:bCs/>
        </w:rPr>
        <w:t>aúde (</w:t>
      </w:r>
      <w:r w:rsidR="0006498A">
        <w:rPr>
          <w:rFonts w:ascii="Arial" w:hAnsi="Arial" w:cs="Arial"/>
          <w:bCs/>
        </w:rPr>
        <w:t>UPAs</w:t>
      </w:r>
      <w:r w:rsidR="0006498A">
        <w:rPr>
          <w:rFonts w:ascii="Arial" w:hAnsi="Arial" w:cs="Arial"/>
          <w:bCs/>
        </w:rPr>
        <w:t xml:space="preserve"> e </w:t>
      </w:r>
      <w:r w:rsidRPr="0006498A">
        <w:rPr>
          <w:rFonts w:ascii="Arial" w:hAnsi="Arial" w:cs="Arial"/>
          <w:bCs/>
        </w:rPr>
        <w:t>UBSs).</w:t>
      </w:r>
    </w:p>
    <w:p w:rsidR="00974CEA" w:rsidRPr="0006498A" w:rsidP="00974CEA" w14:paraId="369F1F9A" w14:textId="120E6AB3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 w:rsidRPr="0006498A">
        <w:rPr>
          <w:rFonts w:ascii="Arial" w:hAnsi="Arial" w:cs="Arial"/>
          <w:bCs/>
        </w:rPr>
        <w:t>Ademais, a medida promove expressivos ganhos ambientais e econômicos para a localidade. Ao incentivar o uso de recipientes individuais</w:t>
      </w:r>
      <w:r w:rsidR="00726628">
        <w:rPr>
          <w:rFonts w:ascii="Arial" w:hAnsi="Arial" w:cs="Arial"/>
          <w:bCs/>
        </w:rPr>
        <w:t>,</w:t>
      </w:r>
      <w:r w:rsidRPr="0006498A">
        <w:rPr>
          <w:rFonts w:ascii="Arial" w:hAnsi="Arial" w:cs="Arial"/>
          <w:bCs/>
        </w:rPr>
        <w:t xml:space="preserve"> a norma fomenta o combate ao descarte de plásticos de uso único, alinhando Sumaré a legislações vanguardistas. Paralelamente, estimula a economia local por meio do comércio de recipientes reutilizáveis e do setor de água mineral, garantindo </w:t>
      </w:r>
      <w:r w:rsidR="00726628">
        <w:rPr>
          <w:rFonts w:ascii="Arial" w:hAnsi="Arial" w:cs="Arial"/>
          <w:bCs/>
        </w:rPr>
        <w:t>ainda</w:t>
      </w:r>
      <w:r w:rsidRPr="0006498A">
        <w:rPr>
          <w:rFonts w:ascii="Arial" w:hAnsi="Arial" w:cs="Arial"/>
          <w:bCs/>
        </w:rPr>
        <w:t xml:space="preserve"> transparência mediante a exigência do Selo de Garantia Sanitária com </w:t>
      </w:r>
      <w:r w:rsidRPr="0006498A" w:rsidR="00330590">
        <w:rPr>
          <w:rFonts w:ascii="Arial" w:hAnsi="Arial" w:cs="Arial"/>
          <w:bCs/>
        </w:rPr>
        <w:t>“</w:t>
      </w:r>
      <w:r w:rsidRPr="0006498A">
        <w:rPr>
          <w:rFonts w:ascii="Arial" w:hAnsi="Arial" w:cs="Arial"/>
          <w:bCs/>
        </w:rPr>
        <w:t xml:space="preserve">QR </w:t>
      </w:r>
      <w:r w:rsidRPr="0006498A">
        <w:rPr>
          <w:rFonts w:ascii="Arial" w:hAnsi="Arial" w:cs="Arial"/>
          <w:bCs/>
        </w:rPr>
        <w:t>Code</w:t>
      </w:r>
      <w:r w:rsidRPr="0006498A" w:rsidR="00330590">
        <w:rPr>
          <w:rFonts w:ascii="Arial" w:hAnsi="Arial" w:cs="Arial"/>
          <w:bCs/>
        </w:rPr>
        <w:t>”</w:t>
      </w:r>
      <w:r w:rsidRPr="0006498A">
        <w:rPr>
          <w:rFonts w:ascii="Arial" w:hAnsi="Arial" w:cs="Arial"/>
          <w:bCs/>
        </w:rPr>
        <w:t xml:space="preserve"> para consulta de laudos de potabilidade.</w:t>
      </w:r>
    </w:p>
    <w:p w:rsidR="00020BF5" w:rsidRPr="0006498A" w:rsidP="005734D7" w14:paraId="67A12C2F" w14:textId="52E0432A">
      <w:pPr>
        <w:spacing w:before="120" w:after="240" w:line="240" w:lineRule="auto"/>
        <w:ind w:firstLine="1418"/>
        <w:jc w:val="both"/>
        <w:rPr>
          <w:rFonts w:ascii="Arial" w:hAnsi="Arial" w:cs="Arial"/>
          <w:bCs/>
        </w:rPr>
      </w:pPr>
      <w:r w:rsidRPr="0006498A">
        <w:rPr>
          <w:rFonts w:ascii="Arial" w:hAnsi="Arial" w:cs="Arial"/>
          <w:bCs/>
        </w:rPr>
        <w:t>Diante da relevância da matéria para a proteção da saúde pública, para a modernização das posturas municipais e para a preservação do meio ambiente, conto com o indispensável apoio dos Nobres Pares para a apreciação e aprovação deste Projeto de Lei.</w:t>
      </w:r>
      <w:r w:rsidRPr="0006498A" w:rsidR="00D64817">
        <w:rPr>
          <w:rFonts w:ascii="Arial" w:hAnsi="Arial" w:cs="Arial"/>
          <w:bCs/>
        </w:rPr>
        <w:t xml:space="preserve"> </w:t>
      </w:r>
      <w:r w:rsidRPr="0006498A" w:rsidR="00265C90">
        <w:rPr>
          <w:rFonts w:ascii="Arial" w:hAnsi="Arial" w:cs="Arial"/>
          <w:bCs/>
        </w:rPr>
        <w:t>Pelo exposto e pela relevância social da matéria, contamos com o apoio dos nobres pares para a aprovação deste Projeto de Lei.</w:t>
      </w:r>
    </w:p>
    <w:p w:rsidR="00471995" w:rsidP="005734D7" w14:paraId="1AA68C80" w14:textId="092E637A">
      <w:pPr>
        <w:spacing w:before="360" w:after="68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AB2B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3171825</wp:posOffset>
            </wp:positionH>
            <wp:positionV relativeFrom="paragraph">
              <wp:posOffset>373533</wp:posOffset>
            </wp:positionV>
            <wp:extent cx="1424763" cy="544995"/>
            <wp:effectExtent l="0" t="0" r="0" b="7620"/>
            <wp:wrapNone/>
            <wp:docPr id="61687754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254979" name="Imagem 191135065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639F" w:rsidR="00020BF5">
        <w:rPr>
          <w:rFonts w:ascii="Arial" w:hAnsi="Arial" w:cs="Arial"/>
          <w:bCs/>
          <w:sz w:val="24"/>
          <w:szCs w:val="24"/>
        </w:rPr>
        <w:t xml:space="preserve">Sala das Sessões, </w:t>
      </w:r>
      <w:r w:rsidRPr="0053639F" w:rsidR="009D6AD7">
        <w:rPr>
          <w:rFonts w:ascii="Arial" w:hAnsi="Arial" w:cs="Arial"/>
          <w:bCs/>
          <w:sz w:val="24"/>
          <w:szCs w:val="24"/>
        </w:rPr>
        <w:t>27</w:t>
      </w:r>
      <w:r w:rsidRPr="0053639F" w:rsidR="00020BF5">
        <w:rPr>
          <w:rFonts w:ascii="Arial" w:hAnsi="Arial" w:cs="Arial"/>
          <w:bCs/>
          <w:sz w:val="24"/>
          <w:szCs w:val="24"/>
        </w:rPr>
        <w:t xml:space="preserve"> de ju</w:t>
      </w:r>
      <w:r w:rsidRPr="0053639F" w:rsidR="009D6AD7">
        <w:rPr>
          <w:rFonts w:ascii="Arial" w:hAnsi="Arial" w:cs="Arial"/>
          <w:bCs/>
          <w:sz w:val="24"/>
          <w:szCs w:val="24"/>
        </w:rPr>
        <w:t>l</w:t>
      </w:r>
      <w:r w:rsidRPr="0053639F" w:rsidR="00020BF5">
        <w:rPr>
          <w:rFonts w:ascii="Arial" w:hAnsi="Arial" w:cs="Arial"/>
          <w:bCs/>
          <w:sz w:val="24"/>
          <w:szCs w:val="24"/>
        </w:rPr>
        <w:t>ho de 2026.</w:t>
      </w:r>
    </w:p>
    <w:p w:rsidR="006C475A" w:rsidP="005734D7" w14:paraId="450D8793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2B7D">
        <w:rPr>
          <w:rFonts w:ascii="Arial" w:hAnsi="Arial" w:cs="Arial"/>
          <w:b/>
          <w:sz w:val="24"/>
          <w:szCs w:val="24"/>
        </w:rPr>
        <w:t>Geraldo Medeiros</w:t>
      </w:r>
    </w:p>
    <w:p w:rsidR="006D1E9A" w:rsidRPr="00AB2B7D" w:rsidP="005734D7" w14:paraId="07A8F1E3" w14:textId="5F5117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2B7D">
        <w:rPr>
          <w:rFonts w:ascii="Arial" w:hAnsi="Arial" w:cs="Arial"/>
          <w:b/>
          <w:sz w:val="24"/>
          <w:szCs w:val="24"/>
        </w:rPr>
        <w:t>Vereador</w:t>
      </w:r>
      <w:permEnd w:id="1"/>
    </w:p>
    <w:sectPr w:rsidSect="00020BF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844062744" name="Imagem 1844062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F4B99"/>
    <w:multiLevelType w:val="multilevel"/>
    <w:tmpl w:val="F6C6C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015F47"/>
    <w:multiLevelType w:val="multilevel"/>
    <w:tmpl w:val="FFF28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9D7BAF"/>
    <w:multiLevelType w:val="multilevel"/>
    <w:tmpl w:val="9028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0500FF"/>
    <w:multiLevelType w:val="multilevel"/>
    <w:tmpl w:val="D416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9B76DE"/>
    <w:multiLevelType w:val="multilevel"/>
    <w:tmpl w:val="F6E66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7E46E8"/>
    <w:multiLevelType w:val="multilevel"/>
    <w:tmpl w:val="F1FA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4"/>
  </w:num>
  <w:num w:numId="9">
    <w:abstractNumId w:val="10"/>
  </w:num>
  <w:num w:numId="10">
    <w:abstractNumId w:val="9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EA8"/>
    <w:rsid w:val="00014F52"/>
    <w:rsid w:val="00020BF5"/>
    <w:rsid w:val="000239C4"/>
    <w:rsid w:val="00026D2B"/>
    <w:rsid w:val="00027901"/>
    <w:rsid w:val="000343EA"/>
    <w:rsid w:val="00035999"/>
    <w:rsid w:val="00046D77"/>
    <w:rsid w:val="000556AD"/>
    <w:rsid w:val="00056D77"/>
    <w:rsid w:val="0006498A"/>
    <w:rsid w:val="00067240"/>
    <w:rsid w:val="000739AB"/>
    <w:rsid w:val="00091DD2"/>
    <w:rsid w:val="000954A2"/>
    <w:rsid w:val="000A2E32"/>
    <w:rsid w:val="000B096C"/>
    <w:rsid w:val="000B507F"/>
    <w:rsid w:val="000D2BDC"/>
    <w:rsid w:val="000D6E8A"/>
    <w:rsid w:val="000E3E1B"/>
    <w:rsid w:val="000E46B7"/>
    <w:rsid w:val="0010056F"/>
    <w:rsid w:val="0010387E"/>
    <w:rsid w:val="00104AAA"/>
    <w:rsid w:val="00111ED4"/>
    <w:rsid w:val="001215AC"/>
    <w:rsid w:val="001237F9"/>
    <w:rsid w:val="00123C35"/>
    <w:rsid w:val="0013687C"/>
    <w:rsid w:val="0015657E"/>
    <w:rsid w:val="00156CF8"/>
    <w:rsid w:val="00161879"/>
    <w:rsid w:val="00162A08"/>
    <w:rsid w:val="00182C7E"/>
    <w:rsid w:val="001A3890"/>
    <w:rsid w:val="001A63F3"/>
    <w:rsid w:val="001B175B"/>
    <w:rsid w:val="001B54B7"/>
    <w:rsid w:val="001B6C62"/>
    <w:rsid w:val="001C6870"/>
    <w:rsid w:val="001E3130"/>
    <w:rsid w:val="001E7146"/>
    <w:rsid w:val="001E75C9"/>
    <w:rsid w:val="001F14F4"/>
    <w:rsid w:val="001F351F"/>
    <w:rsid w:val="0021003B"/>
    <w:rsid w:val="00215DD1"/>
    <w:rsid w:val="00216078"/>
    <w:rsid w:val="00225112"/>
    <w:rsid w:val="0023693C"/>
    <w:rsid w:val="0025515A"/>
    <w:rsid w:val="0025616C"/>
    <w:rsid w:val="00265C90"/>
    <w:rsid w:val="00280BC6"/>
    <w:rsid w:val="002B0240"/>
    <w:rsid w:val="002B7FBA"/>
    <w:rsid w:val="002C498E"/>
    <w:rsid w:val="002C5677"/>
    <w:rsid w:val="002C613D"/>
    <w:rsid w:val="002D1B8F"/>
    <w:rsid w:val="002D2E38"/>
    <w:rsid w:val="002D3207"/>
    <w:rsid w:val="002D5F19"/>
    <w:rsid w:val="00302874"/>
    <w:rsid w:val="0031286D"/>
    <w:rsid w:val="003148D1"/>
    <w:rsid w:val="00316A7C"/>
    <w:rsid w:val="00330590"/>
    <w:rsid w:val="003331AA"/>
    <w:rsid w:val="00335D5F"/>
    <w:rsid w:val="0033646E"/>
    <w:rsid w:val="00341C12"/>
    <w:rsid w:val="00343D74"/>
    <w:rsid w:val="00345212"/>
    <w:rsid w:val="0036464C"/>
    <w:rsid w:val="003649CB"/>
    <w:rsid w:val="0037080E"/>
    <w:rsid w:val="00375FC2"/>
    <w:rsid w:val="00376440"/>
    <w:rsid w:val="00384048"/>
    <w:rsid w:val="003946D7"/>
    <w:rsid w:val="00397A53"/>
    <w:rsid w:val="003A49E3"/>
    <w:rsid w:val="003B7F8E"/>
    <w:rsid w:val="003C04B8"/>
    <w:rsid w:val="003E1C97"/>
    <w:rsid w:val="003F258C"/>
    <w:rsid w:val="003F5F4A"/>
    <w:rsid w:val="003F64F9"/>
    <w:rsid w:val="00406AB3"/>
    <w:rsid w:val="00410A90"/>
    <w:rsid w:val="00417F7B"/>
    <w:rsid w:val="0042148E"/>
    <w:rsid w:val="00431240"/>
    <w:rsid w:val="004420D2"/>
    <w:rsid w:val="00452962"/>
    <w:rsid w:val="004571DE"/>
    <w:rsid w:val="00460A32"/>
    <w:rsid w:val="00462C90"/>
    <w:rsid w:val="00471995"/>
    <w:rsid w:val="00477B2D"/>
    <w:rsid w:val="004879C3"/>
    <w:rsid w:val="00491BF9"/>
    <w:rsid w:val="0049397A"/>
    <w:rsid w:val="004A153A"/>
    <w:rsid w:val="004A596B"/>
    <w:rsid w:val="004B2CC9"/>
    <w:rsid w:val="004B3AA5"/>
    <w:rsid w:val="004B4CD1"/>
    <w:rsid w:val="004C5B49"/>
    <w:rsid w:val="004C7649"/>
    <w:rsid w:val="004D3C59"/>
    <w:rsid w:val="004D4645"/>
    <w:rsid w:val="004F0745"/>
    <w:rsid w:val="004F7465"/>
    <w:rsid w:val="005012EF"/>
    <w:rsid w:val="005127A2"/>
    <w:rsid w:val="0051286F"/>
    <w:rsid w:val="005328FB"/>
    <w:rsid w:val="0053639F"/>
    <w:rsid w:val="00555590"/>
    <w:rsid w:val="00557CA5"/>
    <w:rsid w:val="00560CBD"/>
    <w:rsid w:val="005734D7"/>
    <w:rsid w:val="00576C42"/>
    <w:rsid w:val="00597DE3"/>
    <w:rsid w:val="005A2BE4"/>
    <w:rsid w:val="005A2C2A"/>
    <w:rsid w:val="005B025B"/>
    <w:rsid w:val="005B1E8A"/>
    <w:rsid w:val="005C584C"/>
    <w:rsid w:val="005F0564"/>
    <w:rsid w:val="005F5ECA"/>
    <w:rsid w:val="006014CF"/>
    <w:rsid w:val="00601B0A"/>
    <w:rsid w:val="006062DA"/>
    <w:rsid w:val="00613BC8"/>
    <w:rsid w:val="006249FE"/>
    <w:rsid w:val="00626437"/>
    <w:rsid w:val="006324DE"/>
    <w:rsid w:val="00632FA0"/>
    <w:rsid w:val="00641167"/>
    <w:rsid w:val="00645359"/>
    <w:rsid w:val="0064652D"/>
    <w:rsid w:val="006538CA"/>
    <w:rsid w:val="0065558A"/>
    <w:rsid w:val="006600FE"/>
    <w:rsid w:val="00676135"/>
    <w:rsid w:val="00683C06"/>
    <w:rsid w:val="00684401"/>
    <w:rsid w:val="00697F64"/>
    <w:rsid w:val="006B2229"/>
    <w:rsid w:val="006C2294"/>
    <w:rsid w:val="006C41A4"/>
    <w:rsid w:val="006C475A"/>
    <w:rsid w:val="006C5F39"/>
    <w:rsid w:val="006D0D53"/>
    <w:rsid w:val="006D1E9A"/>
    <w:rsid w:val="006D5924"/>
    <w:rsid w:val="006E0631"/>
    <w:rsid w:val="006E1ABA"/>
    <w:rsid w:val="006F2C7A"/>
    <w:rsid w:val="006F7994"/>
    <w:rsid w:val="007032FD"/>
    <w:rsid w:val="00703E65"/>
    <w:rsid w:val="00706281"/>
    <w:rsid w:val="00714716"/>
    <w:rsid w:val="00726628"/>
    <w:rsid w:val="00734BFA"/>
    <w:rsid w:val="00735E61"/>
    <w:rsid w:val="00741B76"/>
    <w:rsid w:val="00742C38"/>
    <w:rsid w:val="00744110"/>
    <w:rsid w:val="00745FD8"/>
    <w:rsid w:val="007541EB"/>
    <w:rsid w:val="007637BF"/>
    <w:rsid w:val="00773E7D"/>
    <w:rsid w:val="00777FC4"/>
    <w:rsid w:val="00783734"/>
    <w:rsid w:val="007913A6"/>
    <w:rsid w:val="00791CFE"/>
    <w:rsid w:val="00796AD1"/>
    <w:rsid w:val="00797E00"/>
    <w:rsid w:val="007A49F9"/>
    <w:rsid w:val="007B0345"/>
    <w:rsid w:val="007B179A"/>
    <w:rsid w:val="007C1B3D"/>
    <w:rsid w:val="007C55D9"/>
    <w:rsid w:val="007C7D4B"/>
    <w:rsid w:val="007D26B9"/>
    <w:rsid w:val="007D3402"/>
    <w:rsid w:val="007E06D7"/>
    <w:rsid w:val="007E7212"/>
    <w:rsid w:val="0080392E"/>
    <w:rsid w:val="008055F4"/>
    <w:rsid w:val="00817A62"/>
    <w:rsid w:val="00820E79"/>
    <w:rsid w:val="0082105F"/>
    <w:rsid w:val="008211AF"/>
    <w:rsid w:val="00822396"/>
    <w:rsid w:val="00826E51"/>
    <w:rsid w:val="008327B2"/>
    <w:rsid w:val="0084685A"/>
    <w:rsid w:val="00871DA9"/>
    <w:rsid w:val="008734B8"/>
    <w:rsid w:val="00874949"/>
    <w:rsid w:val="0087569A"/>
    <w:rsid w:val="0088040B"/>
    <w:rsid w:val="00882E80"/>
    <w:rsid w:val="00884145"/>
    <w:rsid w:val="00891346"/>
    <w:rsid w:val="00893A53"/>
    <w:rsid w:val="008B0CD3"/>
    <w:rsid w:val="008B3A86"/>
    <w:rsid w:val="008C0EA8"/>
    <w:rsid w:val="008C5452"/>
    <w:rsid w:val="008D2030"/>
    <w:rsid w:val="008D708A"/>
    <w:rsid w:val="008D7C69"/>
    <w:rsid w:val="008E2082"/>
    <w:rsid w:val="00903792"/>
    <w:rsid w:val="0090502E"/>
    <w:rsid w:val="00927722"/>
    <w:rsid w:val="00933644"/>
    <w:rsid w:val="00941A3D"/>
    <w:rsid w:val="00951E53"/>
    <w:rsid w:val="0096157A"/>
    <w:rsid w:val="00974CEA"/>
    <w:rsid w:val="009813C0"/>
    <w:rsid w:val="00981DB4"/>
    <w:rsid w:val="00991AB8"/>
    <w:rsid w:val="009A310D"/>
    <w:rsid w:val="009A5F29"/>
    <w:rsid w:val="009A7950"/>
    <w:rsid w:val="009B5D34"/>
    <w:rsid w:val="009C4C25"/>
    <w:rsid w:val="009D6AD7"/>
    <w:rsid w:val="009E6003"/>
    <w:rsid w:val="009F1635"/>
    <w:rsid w:val="009F280D"/>
    <w:rsid w:val="009F327C"/>
    <w:rsid w:val="00A02444"/>
    <w:rsid w:val="00A03E63"/>
    <w:rsid w:val="00A06CF2"/>
    <w:rsid w:val="00A16E48"/>
    <w:rsid w:val="00A2268D"/>
    <w:rsid w:val="00A244CC"/>
    <w:rsid w:val="00A3289B"/>
    <w:rsid w:val="00A34C65"/>
    <w:rsid w:val="00A35FB3"/>
    <w:rsid w:val="00A42A09"/>
    <w:rsid w:val="00A45B1E"/>
    <w:rsid w:val="00A462F5"/>
    <w:rsid w:val="00A53F4D"/>
    <w:rsid w:val="00A54975"/>
    <w:rsid w:val="00A63969"/>
    <w:rsid w:val="00A643E4"/>
    <w:rsid w:val="00A675F2"/>
    <w:rsid w:val="00A74A06"/>
    <w:rsid w:val="00A8676E"/>
    <w:rsid w:val="00AB2B7D"/>
    <w:rsid w:val="00AB4526"/>
    <w:rsid w:val="00AB7512"/>
    <w:rsid w:val="00AC5D22"/>
    <w:rsid w:val="00AD2D5B"/>
    <w:rsid w:val="00AD2D73"/>
    <w:rsid w:val="00AD50A7"/>
    <w:rsid w:val="00AE6AEE"/>
    <w:rsid w:val="00B029CA"/>
    <w:rsid w:val="00B04C54"/>
    <w:rsid w:val="00B137D8"/>
    <w:rsid w:val="00B36ACC"/>
    <w:rsid w:val="00B43144"/>
    <w:rsid w:val="00B439A6"/>
    <w:rsid w:val="00B522A8"/>
    <w:rsid w:val="00B71251"/>
    <w:rsid w:val="00B726A9"/>
    <w:rsid w:val="00B804BD"/>
    <w:rsid w:val="00B87C92"/>
    <w:rsid w:val="00B90C42"/>
    <w:rsid w:val="00B9222B"/>
    <w:rsid w:val="00BB069C"/>
    <w:rsid w:val="00BB7098"/>
    <w:rsid w:val="00BC0C2E"/>
    <w:rsid w:val="00BC2F09"/>
    <w:rsid w:val="00BD27EE"/>
    <w:rsid w:val="00BD4DFF"/>
    <w:rsid w:val="00BE0331"/>
    <w:rsid w:val="00BE633E"/>
    <w:rsid w:val="00BE713A"/>
    <w:rsid w:val="00BE73FD"/>
    <w:rsid w:val="00BF1941"/>
    <w:rsid w:val="00C00C1E"/>
    <w:rsid w:val="00C0700B"/>
    <w:rsid w:val="00C140E4"/>
    <w:rsid w:val="00C16ECC"/>
    <w:rsid w:val="00C31E27"/>
    <w:rsid w:val="00C35D29"/>
    <w:rsid w:val="00C36776"/>
    <w:rsid w:val="00C47100"/>
    <w:rsid w:val="00C62EEF"/>
    <w:rsid w:val="00C636C4"/>
    <w:rsid w:val="00C674A9"/>
    <w:rsid w:val="00C6768B"/>
    <w:rsid w:val="00C81828"/>
    <w:rsid w:val="00CB7840"/>
    <w:rsid w:val="00CC28D7"/>
    <w:rsid w:val="00CD6B58"/>
    <w:rsid w:val="00CE1A38"/>
    <w:rsid w:val="00CE4911"/>
    <w:rsid w:val="00CE4C42"/>
    <w:rsid w:val="00CE7191"/>
    <w:rsid w:val="00CF401E"/>
    <w:rsid w:val="00D1228D"/>
    <w:rsid w:val="00D157CC"/>
    <w:rsid w:val="00D2142B"/>
    <w:rsid w:val="00D267D2"/>
    <w:rsid w:val="00D34544"/>
    <w:rsid w:val="00D4008D"/>
    <w:rsid w:val="00D40B69"/>
    <w:rsid w:val="00D41FE8"/>
    <w:rsid w:val="00D4673E"/>
    <w:rsid w:val="00D5263C"/>
    <w:rsid w:val="00D56F44"/>
    <w:rsid w:val="00D578CC"/>
    <w:rsid w:val="00D60EBC"/>
    <w:rsid w:val="00D64817"/>
    <w:rsid w:val="00D64B62"/>
    <w:rsid w:val="00D65686"/>
    <w:rsid w:val="00D75422"/>
    <w:rsid w:val="00D806B6"/>
    <w:rsid w:val="00D84C82"/>
    <w:rsid w:val="00D9750C"/>
    <w:rsid w:val="00D97F7E"/>
    <w:rsid w:val="00DB6A33"/>
    <w:rsid w:val="00DB7076"/>
    <w:rsid w:val="00DC18D3"/>
    <w:rsid w:val="00DC567F"/>
    <w:rsid w:val="00DC670A"/>
    <w:rsid w:val="00DD1A03"/>
    <w:rsid w:val="00DD4652"/>
    <w:rsid w:val="00E037F1"/>
    <w:rsid w:val="00E05100"/>
    <w:rsid w:val="00E13666"/>
    <w:rsid w:val="00E211B9"/>
    <w:rsid w:val="00E21BB2"/>
    <w:rsid w:val="00E2318C"/>
    <w:rsid w:val="00E2533A"/>
    <w:rsid w:val="00E37AC5"/>
    <w:rsid w:val="00E447A6"/>
    <w:rsid w:val="00E46F46"/>
    <w:rsid w:val="00E50B44"/>
    <w:rsid w:val="00E53A10"/>
    <w:rsid w:val="00E54D43"/>
    <w:rsid w:val="00E57AD3"/>
    <w:rsid w:val="00E63AFD"/>
    <w:rsid w:val="00E72880"/>
    <w:rsid w:val="00E73D39"/>
    <w:rsid w:val="00E77602"/>
    <w:rsid w:val="00E84741"/>
    <w:rsid w:val="00E84F2E"/>
    <w:rsid w:val="00E85597"/>
    <w:rsid w:val="00E863E1"/>
    <w:rsid w:val="00EB0870"/>
    <w:rsid w:val="00EB1A25"/>
    <w:rsid w:val="00EC0DF9"/>
    <w:rsid w:val="00EC380B"/>
    <w:rsid w:val="00EC4E78"/>
    <w:rsid w:val="00EC6CD8"/>
    <w:rsid w:val="00ED4742"/>
    <w:rsid w:val="00ED5743"/>
    <w:rsid w:val="00ED7C0F"/>
    <w:rsid w:val="00EE3D93"/>
    <w:rsid w:val="00EF336A"/>
    <w:rsid w:val="00EF5B44"/>
    <w:rsid w:val="00EF74F2"/>
    <w:rsid w:val="00F0337C"/>
    <w:rsid w:val="00F05800"/>
    <w:rsid w:val="00F12AAD"/>
    <w:rsid w:val="00F26C9B"/>
    <w:rsid w:val="00F26DEC"/>
    <w:rsid w:val="00F36500"/>
    <w:rsid w:val="00F3713B"/>
    <w:rsid w:val="00F40DB5"/>
    <w:rsid w:val="00F45EAC"/>
    <w:rsid w:val="00F47243"/>
    <w:rsid w:val="00F47EB1"/>
    <w:rsid w:val="00F52180"/>
    <w:rsid w:val="00FA6EE9"/>
    <w:rsid w:val="00FB5DC5"/>
    <w:rsid w:val="00FC1FA5"/>
    <w:rsid w:val="00FC5C2C"/>
    <w:rsid w:val="00FC6D80"/>
    <w:rsid w:val="00FC748C"/>
    <w:rsid w:val="00FE3182"/>
    <w:rsid w:val="00FE39F0"/>
    <w:rsid w:val="00FE7DA9"/>
    <w:rsid w:val="00FF44E0"/>
    <w:rsid w:val="00FF4A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tif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1357</Words>
  <Characters>7328</Characters>
  <Application>Microsoft Office Word</Application>
  <DocSecurity>8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26</cp:revision>
  <cp:lastPrinted>2026-06-09T16:50:00Z</cp:lastPrinted>
  <dcterms:created xsi:type="dcterms:W3CDTF">2026-07-27T13:37:00Z</dcterms:created>
  <dcterms:modified xsi:type="dcterms:W3CDTF">2026-07-29T16:05:00Z</dcterms:modified>
</cp:coreProperties>
</file>