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05DF" w:rsidP="006D05DF" w14:paraId="7A8EBF95" w14:textId="6759594E">
      <w:pPr>
        <w:rPr>
          <w:rFonts w:ascii="Cambria" w:hAnsi="Cambria"/>
          <w:b/>
          <w:bCs/>
          <w:sz w:val="26"/>
          <w:szCs w:val="26"/>
        </w:rPr>
      </w:pPr>
      <w:permStart w:id="0" w:edGrp="everyone"/>
      <w:r>
        <w:rPr>
          <w:rFonts w:ascii="Cambria" w:hAnsi="Cambria"/>
          <w:b/>
          <w:bCs/>
          <w:sz w:val="26"/>
          <w:szCs w:val="26"/>
        </w:rPr>
        <w:t>PROJETO DE LEI Nº 20</w:t>
      </w:r>
      <w:r w:rsidRPr="006D05DF">
        <w:rPr>
          <w:rFonts w:ascii="Cambria" w:hAnsi="Cambria"/>
          <w:b/>
          <w:bCs/>
          <w:sz w:val="26"/>
          <w:szCs w:val="26"/>
        </w:rPr>
        <w:t>/2026</w:t>
      </w:r>
    </w:p>
    <w:p w:rsidR="006D05DF" w:rsidP="006D05DF" w14:paraId="69C3E82A" w14:textId="178D91B8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D1BFA70" w14:textId="27F6B908">
      <w:pPr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Proje</w:t>
      </w:r>
      <w:r w:rsidR="002360E2">
        <w:rPr>
          <w:rFonts w:ascii="Cambria" w:hAnsi="Cambria"/>
          <w:b/>
          <w:bCs/>
          <w:sz w:val="26"/>
          <w:szCs w:val="26"/>
        </w:rPr>
        <w:t>to</w:t>
      </w:r>
      <w:r>
        <w:rPr>
          <w:rFonts w:ascii="Cambria" w:hAnsi="Cambria"/>
          <w:b/>
          <w:bCs/>
          <w:sz w:val="26"/>
          <w:szCs w:val="26"/>
        </w:rPr>
        <w:t xml:space="preserve"> de lei “ VIDA SEM APOSTAS COMPUSIVAS”</w:t>
      </w:r>
    </w:p>
    <w:p w:rsidR="006D05DF" w:rsidRPr="006D05DF" w:rsidP="006D05DF" w14:paraId="5158AAE4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51A0DF18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Institui a Política Municipal de Prevenção à </w:t>
      </w:r>
      <w:r w:rsidRPr="006D05DF">
        <w:rPr>
          <w:rFonts w:ascii="Cambria" w:hAnsi="Cambria"/>
          <w:b/>
          <w:bCs/>
          <w:sz w:val="26"/>
          <w:szCs w:val="26"/>
        </w:rPr>
        <w:t>Ludopatia</w:t>
      </w:r>
      <w:r w:rsidRPr="006D05DF">
        <w:rPr>
          <w:rFonts w:ascii="Cambria" w:hAnsi="Cambria"/>
          <w:b/>
          <w:bCs/>
          <w:sz w:val="26"/>
          <w:szCs w:val="26"/>
        </w:rPr>
        <w:t xml:space="preserve"> e Promoção do Jogo Responsável no Município de Sumaré, estabelece diretrizes para ações de conscientização, prevenção e acolhimento relacionadas às apostas de quota fixa, disciplina a publicidade dessas atividades em bens públicos municipais e dá outras providências.</w:t>
      </w:r>
    </w:p>
    <w:p w:rsidR="006D05DF" w:rsidRPr="006D05DF" w:rsidP="006D05DF" w14:paraId="239B75A2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DFCA07E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 Câmara Municipal de Sumaré decreta:</w:t>
      </w:r>
    </w:p>
    <w:p w:rsidR="006D05DF" w:rsidRPr="006D05DF" w:rsidP="006D05DF" w14:paraId="7FA5D70A" w14:textId="77777777">
      <w:pPr>
        <w:rPr>
          <w:rFonts w:ascii="Cambria" w:hAnsi="Cambria"/>
          <w:b/>
          <w:bCs/>
          <w:sz w:val="26"/>
          <w:szCs w:val="26"/>
        </w:rPr>
      </w:pPr>
      <w:bookmarkStart w:id="1" w:name="_GoBack"/>
      <w:bookmarkEnd w:id="1"/>
    </w:p>
    <w:p w:rsidR="006D05DF" w:rsidRPr="006D05DF" w:rsidP="006D05DF" w14:paraId="18378F99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CAPÍTULO I</w:t>
      </w:r>
    </w:p>
    <w:p w:rsidR="006D05DF" w:rsidRPr="006D05DF" w:rsidP="006D05DF" w14:paraId="268CA8E4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7D37F12A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DISPOSIÇÕES PRELIMINARES</w:t>
      </w:r>
    </w:p>
    <w:p w:rsidR="006D05DF" w:rsidRPr="006D05DF" w:rsidP="006D05DF" w14:paraId="662BDD41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BD3F056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Art. 1º Fica instituída, no âmbito do Município de Sumaré, a Política Municipal de Prevenção à </w:t>
      </w:r>
      <w:r w:rsidRPr="006D05DF">
        <w:rPr>
          <w:rFonts w:ascii="Cambria" w:hAnsi="Cambria"/>
          <w:b/>
          <w:bCs/>
          <w:sz w:val="26"/>
          <w:szCs w:val="26"/>
        </w:rPr>
        <w:t>Ludopatia</w:t>
      </w:r>
      <w:r w:rsidRPr="006D05DF">
        <w:rPr>
          <w:rFonts w:ascii="Cambria" w:hAnsi="Cambria"/>
          <w:b/>
          <w:bCs/>
          <w:sz w:val="26"/>
          <w:szCs w:val="26"/>
        </w:rPr>
        <w:t xml:space="preserve"> e Promoção do Jogo Responsável, destinada à prevenção, conscientização, redução dos impactos sociais, econômicos e psicológicos decorrentes das apostas de quota fixa e demais modalidades de apostas eletrônicas.</w:t>
      </w:r>
    </w:p>
    <w:p w:rsidR="006D05DF" w:rsidRPr="006D05DF" w:rsidP="006D05DF" w14:paraId="4CB7F865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8C11CC6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Parágrafo único. A Política observará os princípios da dignidade da pessoa humana, da proteção integral da criança e do adolescente, da promoção da saúde mental, da prevenção ao </w:t>
      </w:r>
      <w:r w:rsidRPr="006D05DF">
        <w:rPr>
          <w:rFonts w:ascii="Cambria" w:hAnsi="Cambria"/>
          <w:b/>
          <w:bCs/>
          <w:sz w:val="26"/>
          <w:szCs w:val="26"/>
        </w:rPr>
        <w:t>superendividamento</w:t>
      </w:r>
      <w:r w:rsidRPr="006D05DF">
        <w:rPr>
          <w:rFonts w:ascii="Cambria" w:hAnsi="Cambria"/>
          <w:b/>
          <w:bCs/>
          <w:sz w:val="26"/>
          <w:szCs w:val="26"/>
        </w:rPr>
        <w:t xml:space="preserve"> e da proteção do consumidor.</w:t>
      </w:r>
    </w:p>
    <w:p w:rsidR="006D05DF" w:rsidRPr="006D05DF" w:rsidP="006D05DF" w14:paraId="3379A8DA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5D4F93A0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2º As medidas previstas nesta Lei restringem-se às competências constitucionais do Município relativas à proteção da saúde, da educação, da infância e juventude, ao ordenamento dos bens públicos municipais e ao interesse local, não implicando restrições ao exercício da atividade econômica regularmente autorizada pela legislação federal.</w:t>
      </w:r>
    </w:p>
    <w:p w:rsidR="006D05DF" w:rsidRPr="006D05DF" w:rsidP="006D05DF" w14:paraId="50DF588F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3555452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b/>
          <w:bCs/>
          <w:sz w:val="26"/>
          <w:szCs w:val="26"/>
        </w:rPr>
        <w:t>⸻</w:t>
      </w:r>
    </w:p>
    <w:p w:rsidR="006D05DF" w:rsidRPr="006D05DF" w:rsidP="006D05DF" w14:paraId="1B90969F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4EF1A85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CAPÍTULO II</w:t>
      </w:r>
    </w:p>
    <w:p w:rsidR="006D05DF" w:rsidRPr="006D05DF" w:rsidP="006D05DF" w14:paraId="33D9221B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BFE2BB8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DOS OBJETIVOS</w:t>
      </w:r>
    </w:p>
    <w:p w:rsidR="006D05DF" w:rsidRPr="006D05DF" w:rsidP="006D05DF" w14:paraId="50DFF760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B220D4B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3º São objetivos da Política Municipal:</w:t>
      </w:r>
    </w:p>
    <w:p w:rsidR="006D05DF" w:rsidRPr="006D05DF" w:rsidP="006D05DF" w14:paraId="2464D3E9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B224711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 – </w:t>
      </w:r>
      <w:r w:rsidRPr="006D05DF">
        <w:rPr>
          <w:rFonts w:ascii="Cambria" w:hAnsi="Cambria"/>
          <w:b/>
          <w:bCs/>
          <w:sz w:val="26"/>
          <w:szCs w:val="26"/>
        </w:rPr>
        <w:t>prevenir</w:t>
      </w:r>
      <w:r w:rsidRPr="006D05DF">
        <w:rPr>
          <w:rFonts w:ascii="Cambria" w:hAnsi="Cambria"/>
          <w:b/>
          <w:bCs/>
          <w:sz w:val="26"/>
          <w:szCs w:val="26"/>
        </w:rPr>
        <w:t xml:space="preserve"> o desenvolvimento da </w:t>
      </w:r>
      <w:r w:rsidRPr="006D05DF">
        <w:rPr>
          <w:rFonts w:ascii="Cambria" w:hAnsi="Cambria"/>
          <w:b/>
          <w:bCs/>
          <w:sz w:val="26"/>
          <w:szCs w:val="26"/>
        </w:rPr>
        <w:t>ludopatia</w:t>
      </w:r>
      <w:r w:rsidRPr="006D05DF">
        <w:rPr>
          <w:rFonts w:ascii="Cambria" w:hAnsi="Cambria"/>
          <w:b/>
          <w:bCs/>
          <w:sz w:val="26"/>
          <w:szCs w:val="26"/>
        </w:rPr>
        <w:t>;</w:t>
      </w:r>
    </w:p>
    <w:p w:rsidR="006D05DF" w:rsidRPr="006D05DF" w:rsidP="006D05DF" w14:paraId="7D0D4491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10C7660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II – </w:t>
      </w:r>
      <w:r w:rsidRPr="006D05DF">
        <w:rPr>
          <w:rFonts w:ascii="Cambria" w:hAnsi="Cambria"/>
          <w:b/>
          <w:bCs/>
          <w:sz w:val="26"/>
          <w:szCs w:val="26"/>
        </w:rPr>
        <w:t>promover</w:t>
      </w:r>
      <w:r w:rsidRPr="006D05DF">
        <w:rPr>
          <w:rFonts w:ascii="Cambria" w:hAnsi="Cambria"/>
          <w:b/>
          <w:bCs/>
          <w:sz w:val="26"/>
          <w:szCs w:val="26"/>
        </w:rPr>
        <w:t xml:space="preserve"> campanhas permanentes de conscientização sobre os riscos das apostas eletrônicas;</w:t>
      </w:r>
    </w:p>
    <w:p w:rsidR="006D05DF" w:rsidRPr="006D05DF" w:rsidP="006D05DF" w14:paraId="5625F28D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8D6F57A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III – incentivar práticas de jogo responsável;</w:t>
      </w:r>
    </w:p>
    <w:p w:rsidR="006D05DF" w:rsidRPr="006D05DF" w:rsidP="006D05DF" w14:paraId="3993F7A0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7C8F98B4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IV – </w:t>
      </w:r>
      <w:r w:rsidRPr="006D05DF">
        <w:rPr>
          <w:rFonts w:ascii="Cambria" w:hAnsi="Cambria"/>
          <w:b/>
          <w:bCs/>
          <w:sz w:val="26"/>
          <w:szCs w:val="26"/>
        </w:rPr>
        <w:t>proteger</w:t>
      </w:r>
      <w:r w:rsidRPr="006D05DF">
        <w:rPr>
          <w:rFonts w:ascii="Cambria" w:hAnsi="Cambria"/>
          <w:b/>
          <w:bCs/>
          <w:sz w:val="26"/>
          <w:szCs w:val="26"/>
        </w:rPr>
        <w:t xml:space="preserve"> crianças e adolescentes da exposição precoce aos estímulos relacionados às apostas;</w:t>
      </w:r>
    </w:p>
    <w:p w:rsidR="006D05DF" w:rsidRPr="006D05DF" w:rsidP="006D05DF" w14:paraId="2BE21A97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C22ED99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 – </w:t>
      </w:r>
      <w:r w:rsidRPr="006D05DF">
        <w:rPr>
          <w:rFonts w:ascii="Cambria" w:hAnsi="Cambria"/>
          <w:b/>
          <w:bCs/>
          <w:sz w:val="26"/>
          <w:szCs w:val="26"/>
        </w:rPr>
        <w:t>fortalecer</w:t>
      </w:r>
      <w:r w:rsidRPr="006D05DF">
        <w:rPr>
          <w:rFonts w:ascii="Cambria" w:hAnsi="Cambria"/>
          <w:b/>
          <w:bCs/>
          <w:sz w:val="26"/>
          <w:szCs w:val="26"/>
        </w:rPr>
        <w:t xml:space="preserve"> ações voltadas à promoção da saúde mental;</w:t>
      </w:r>
    </w:p>
    <w:p w:rsidR="006D05DF" w:rsidRPr="006D05DF" w:rsidP="006D05DF" w14:paraId="0301B8CA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741AC551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VI – </w:t>
      </w:r>
      <w:r w:rsidRPr="006D05DF">
        <w:rPr>
          <w:rFonts w:ascii="Cambria" w:hAnsi="Cambria"/>
          <w:b/>
          <w:bCs/>
          <w:sz w:val="26"/>
          <w:szCs w:val="26"/>
        </w:rPr>
        <w:t>estimular</w:t>
      </w:r>
      <w:r w:rsidRPr="006D05DF">
        <w:rPr>
          <w:rFonts w:ascii="Cambria" w:hAnsi="Cambria"/>
          <w:b/>
          <w:bCs/>
          <w:sz w:val="26"/>
          <w:szCs w:val="26"/>
        </w:rPr>
        <w:t xml:space="preserve"> a educação financeira e o consumo consciente;</w:t>
      </w:r>
    </w:p>
    <w:p w:rsidR="006D05DF" w:rsidRPr="006D05DF" w:rsidP="006D05DF" w14:paraId="4210AD83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4DD5987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VII – prevenir situações de </w:t>
      </w:r>
      <w:r w:rsidRPr="006D05DF">
        <w:rPr>
          <w:rFonts w:ascii="Cambria" w:hAnsi="Cambria"/>
          <w:b/>
          <w:bCs/>
          <w:sz w:val="26"/>
          <w:szCs w:val="26"/>
        </w:rPr>
        <w:t>superendividamento</w:t>
      </w:r>
      <w:r w:rsidRPr="006D05DF">
        <w:rPr>
          <w:rFonts w:ascii="Cambria" w:hAnsi="Cambria"/>
          <w:b/>
          <w:bCs/>
          <w:sz w:val="26"/>
          <w:szCs w:val="26"/>
        </w:rPr>
        <w:t xml:space="preserve"> decorrentes das apostas;</w:t>
      </w:r>
    </w:p>
    <w:p w:rsidR="006D05DF" w:rsidRPr="006D05DF" w:rsidP="006D05DF" w14:paraId="0AC048D8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DB72DCF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VIII – integrar ações entre as áreas da saúde, educação, assistência social, esporte e cultura.</w:t>
      </w:r>
    </w:p>
    <w:p w:rsidR="006D05DF" w:rsidRPr="006D05DF" w:rsidP="006D05DF" w14:paraId="47651F89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D77B399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b/>
          <w:bCs/>
          <w:sz w:val="26"/>
          <w:szCs w:val="26"/>
        </w:rPr>
        <w:t>⸻</w:t>
      </w:r>
    </w:p>
    <w:p w:rsidR="006D05DF" w:rsidRPr="006D05DF" w:rsidP="006D05DF" w14:paraId="4431AC7B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0B2B17E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CAPÍTULO III</w:t>
      </w:r>
    </w:p>
    <w:p w:rsidR="006D05DF" w:rsidRPr="006D05DF" w:rsidP="006D05DF" w14:paraId="224FFB34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7164B7DB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DA PUBLICIDADE EM BENS PÚBLICOS MUNICIPAIS</w:t>
      </w:r>
    </w:p>
    <w:p w:rsidR="006D05DF" w:rsidRPr="006D05DF" w:rsidP="006D05DF" w14:paraId="3FEE2EB7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F82FA86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4º Fica vedada a divulgação, exposição ou instalação de publicidade de empresas exploradoras de apostas de quota fixa:</w:t>
      </w:r>
    </w:p>
    <w:p w:rsidR="006D05DF" w:rsidRPr="006D05DF" w:rsidP="006D05DF" w14:paraId="4ED1AA90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5C8945E1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 – </w:t>
      </w:r>
      <w:r w:rsidRPr="006D05DF">
        <w:rPr>
          <w:rFonts w:ascii="Cambria" w:hAnsi="Cambria"/>
          <w:b/>
          <w:bCs/>
          <w:sz w:val="26"/>
          <w:szCs w:val="26"/>
        </w:rPr>
        <w:t>em</w:t>
      </w:r>
      <w:r w:rsidRPr="006D05DF">
        <w:rPr>
          <w:rFonts w:ascii="Cambria" w:hAnsi="Cambria"/>
          <w:b/>
          <w:bCs/>
          <w:sz w:val="26"/>
          <w:szCs w:val="26"/>
        </w:rPr>
        <w:t xml:space="preserve"> bens públicos municipais;</w:t>
      </w:r>
    </w:p>
    <w:p w:rsidR="006D05DF" w:rsidRPr="006D05DF" w:rsidP="006D05DF" w14:paraId="194AB457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61F51AC9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II – </w:t>
      </w:r>
      <w:r w:rsidRPr="006D05DF">
        <w:rPr>
          <w:rFonts w:ascii="Cambria" w:hAnsi="Cambria"/>
          <w:b/>
          <w:bCs/>
          <w:sz w:val="26"/>
          <w:szCs w:val="26"/>
        </w:rPr>
        <w:t>em</w:t>
      </w:r>
      <w:r w:rsidRPr="006D05DF">
        <w:rPr>
          <w:rFonts w:ascii="Cambria" w:hAnsi="Cambria"/>
          <w:b/>
          <w:bCs/>
          <w:sz w:val="26"/>
          <w:szCs w:val="26"/>
        </w:rPr>
        <w:t xml:space="preserve"> equipamentos públicos municipais;</w:t>
      </w:r>
    </w:p>
    <w:p w:rsidR="006D05DF" w:rsidRPr="006D05DF" w:rsidP="006D05DF" w14:paraId="13117F2B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148488C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III – em mobiliário urbano pertencente ao Município;</w:t>
      </w:r>
    </w:p>
    <w:p w:rsidR="006D05DF" w:rsidRPr="006D05DF" w:rsidP="006D05DF" w14:paraId="6D13F7FA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21D18D9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IV – </w:t>
      </w:r>
      <w:r w:rsidRPr="006D05DF">
        <w:rPr>
          <w:rFonts w:ascii="Cambria" w:hAnsi="Cambria"/>
          <w:b/>
          <w:bCs/>
          <w:sz w:val="26"/>
          <w:szCs w:val="26"/>
        </w:rPr>
        <w:t>em</w:t>
      </w:r>
      <w:r w:rsidRPr="006D05DF">
        <w:rPr>
          <w:rFonts w:ascii="Cambria" w:hAnsi="Cambria"/>
          <w:b/>
          <w:bCs/>
          <w:sz w:val="26"/>
          <w:szCs w:val="26"/>
        </w:rPr>
        <w:t xml:space="preserve"> espaços públicos cuja utilização dependa de autorização, concessão, permissão ou qualquer outro ato administrativo municipal.</w:t>
      </w:r>
    </w:p>
    <w:p w:rsidR="006D05DF" w:rsidRPr="006D05DF" w:rsidP="006D05DF" w14:paraId="214F0D62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70C12631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5º Também fica vedada a utilização de publicidade de empresas de apostas:</w:t>
      </w:r>
    </w:p>
    <w:p w:rsidR="006D05DF" w:rsidRPr="006D05DF" w:rsidP="006D05DF" w14:paraId="3CE30B7B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6D3C33E4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 – </w:t>
      </w:r>
      <w:r w:rsidRPr="006D05DF">
        <w:rPr>
          <w:rFonts w:ascii="Cambria" w:hAnsi="Cambria"/>
          <w:b/>
          <w:bCs/>
          <w:sz w:val="26"/>
          <w:szCs w:val="26"/>
        </w:rPr>
        <w:t>em</w:t>
      </w:r>
      <w:r w:rsidRPr="006D05DF">
        <w:rPr>
          <w:rFonts w:ascii="Cambria" w:hAnsi="Cambria"/>
          <w:b/>
          <w:bCs/>
          <w:sz w:val="26"/>
          <w:szCs w:val="26"/>
        </w:rPr>
        <w:t xml:space="preserve"> eventos promovidos, organizados ou patrocinados pelo Município;</w:t>
      </w:r>
    </w:p>
    <w:p w:rsidR="006D05DF" w:rsidRPr="006D05DF" w:rsidP="006D05DF" w14:paraId="399F933C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9E043BB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II – </w:t>
      </w:r>
      <w:r w:rsidRPr="006D05DF">
        <w:rPr>
          <w:rFonts w:ascii="Cambria" w:hAnsi="Cambria"/>
          <w:b/>
          <w:bCs/>
          <w:sz w:val="26"/>
          <w:szCs w:val="26"/>
        </w:rPr>
        <w:t>em</w:t>
      </w:r>
      <w:r w:rsidRPr="006D05DF">
        <w:rPr>
          <w:rFonts w:ascii="Cambria" w:hAnsi="Cambria"/>
          <w:b/>
          <w:bCs/>
          <w:sz w:val="26"/>
          <w:szCs w:val="26"/>
        </w:rPr>
        <w:t xml:space="preserve"> campanhas institucionais da Administração Pública Municipal;</w:t>
      </w:r>
    </w:p>
    <w:p w:rsidR="006D05DF" w:rsidRPr="006D05DF" w:rsidP="006D05DF" w14:paraId="6B933C17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A75326C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III – em materiais gráficos oficiais;</w:t>
      </w:r>
    </w:p>
    <w:p w:rsidR="006D05DF" w:rsidRPr="006D05DF" w:rsidP="006D05DF" w14:paraId="4D1C1AA5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A371BBC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IV – </w:t>
      </w:r>
      <w:r w:rsidRPr="006D05DF">
        <w:rPr>
          <w:rFonts w:ascii="Cambria" w:hAnsi="Cambria"/>
          <w:b/>
          <w:bCs/>
          <w:sz w:val="26"/>
          <w:szCs w:val="26"/>
        </w:rPr>
        <w:t>em</w:t>
      </w:r>
      <w:r w:rsidRPr="006D05DF">
        <w:rPr>
          <w:rFonts w:ascii="Cambria" w:hAnsi="Cambria"/>
          <w:b/>
          <w:bCs/>
          <w:sz w:val="26"/>
          <w:szCs w:val="26"/>
        </w:rPr>
        <w:t xml:space="preserve"> uniformes fornecidos pelo Município em programas esportivos, educacionais, culturais ou sociais.</w:t>
      </w:r>
    </w:p>
    <w:p w:rsidR="006D05DF" w:rsidRPr="006D05DF" w:rsidP="006D05DF" w14:paraId="3F2FD570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91BF0DF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6º Esta Lei não se aplica:</w:t>
      </w:r>
    </w:p>
    <w:p w:rsidR="006D05DF" w:rsidRPr="006D05DF" w:rsidP="006D05DF" w14:paraId="2FF463EB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DA9FE18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 – </w:t>
      </w:r>
      <w:r w:rsidRPr="006D05DF">
        <w:rPr>
          <w:rFonts w:ascii="Cambria" w:hAnsi="Cambria"/>
          <w:b/>
          <w:bCs/>
          <w:sz w:val="26"/>
          <w:szCs w:val="26"/>
        </w:rPr>
        <w:t>aos</w:t>
      </w:r>
      <w:r w:rsidRPr="006D05DF">
        <w:rPr>
          <w:rFonts w:ascii="Cambria" w:hAnsi="Cambria"/>
          <w:b/>
          <w:bCs/>
          <w:sz w:val="26"/>
          <w:szCs w:val="26"/>
        </w:rPr>
        <w:t xml:space="preserve"> meios de comunicação social;</w:t>
      </w:r>
    </w:p>
    <w:p w:rsidR="006D05DF" w:rsidRPr="006D05DF" w:rsidP="006D05DF" w14:paraId="0D85C2C0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5F8D0608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II – </w:t>
      </w:r>
      <w:r w:rsidRPr="006D05DF">
        <w:rPr>
          <w:rFonts w:ascii="Cambria" w:hAnsi="Cambria"/>
          <w:b/>
          <w:bCs/>
          <w:sz w:val="26"/>
          <w:szCs w:val="26"/>
        </w:rPr>
        <w:t>às</w:t>
      </w:r>
      <w:r w:rsidRPr="006D05DF">
        <w:rPr>
          <w:rFonts w:ascii="Cambria" w:hAnsi="Cambria"/>
          <w:b/>
          <w:bCs/>
          <w:sz w:val="26"/>
          <w:szCs w:val="26"/>
        </w:rPr>
        <w:t xml:space="preserve"> plataformas digitais;</w:t>
      </w:r>
    </w:p>
    <w:p w:rsidR="006D05DF" w:rsidRPr="006D05DF" w:rsidP="006D05DF" w14:paraId="402D4948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46129F9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III – às transmissões esportivas;</w:t>
      </w:r>
    </w:p>
    <w:p w:rsidR="006D05DF" w:rsidRPr="006D05DF" w:rsidP="006D05DF" w14:paraId="3E93EEA1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C3660AB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IV – </w:t>
      </w:r>
      <w:r w:rsidRPr="006D05DF">
        <w:rPr>
          <w:rFonts w:ascii="Cambria" w:hAnsi="Cambria"/>
          <w:b/>
          <w:bCs/>
          <w:sz w:val="26"/>
          <w:szCs w:val="26"/>
        </w:rPr>
        <w:t>às</w:t>
      </w:r>
      <w:r w:rsidRPr="006D05DF">
        <w:rPr>
          <w:rFonts w:ascii="Cambria" w:hAnsi="Cambria"/>
          <w:b/>
          <w:bCs/>
          <w:sz w:val="26"/>
          <w:szCs w:val="26"/>
        </w:rPr>
        <w:t xml:space="preserve"> publicações jornalísticas;</w:t>
      </w:r>
    </w:p>
    <w:p w:rsidR="006D05DF" w:rsidRPr="006D05DF" w:rsidP="006D05DF" w14:paraId="5D275337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8B04FAE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 – </w:t>
      </w:r>
      <w:r w:rsidRPr="006D05DF">
        <w:rPr>
          <w:rFonts w:ascii="Cambria" w:hAnsi="Cambria"/>
          <w:b/>
          <w:bCs/>
          <w:sz w:val="26"/>
          <w:szCs w:val="26"/>
        </w:rPr>
        <w:t>às</w:t>
      </w:r>
      <w:r w:rsidRPr="006D05DF">
        <w:rPr>
          <w:rFonts w:ascii="Cambria" w:hAnsi="Cambria"/>
          <w:b/>
          <w:bCs/>
          <w:sz w:val="26"/>
          <w:szCs w:val="26"/>
        </w:rPr>
        <w:t xml:space="preserve"> campanhas educativas;</w:t>
      </w:r>
    </w:p>
    <w:p w:rsidR="006D05DF" w:rsidRPr="006D05DF" w:rsidP="006D05DF" w14:paraId="2EED92DD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6B27FB27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VI – </w:t>
      </w:r>
      <w:r w:rsidRPr="006D05DF">
        <w:rPr>
          <w:rFonts w:ascii="Cambria" w:hAnsi="Cambria"/>
          <w:b/>
          <w:bCs/>
          <w:sz w:val="26"/>
          <w:szCs w:val="26"/>
        </w:rPr>
        <w:t>às</w:t>
      </w:r>
      <w:r w:rsidRPr="006D05DF">
        <w:rPr>
          <w:rFonts w:ascii="Cambria" w:hAnsi="Cambria"/>
          <w:b/>
          <w:bCs/>
          <w:sz w:val="26"/>
          <w:szCs w:val="26"/>
        </w:rPr>
        <w:t xml:space="preserve"> hipóteses disciplinadas pela legislação federal.</w:t>
      </w:r>
    </w:p>
    <w:p w:rsidR="006D05DF" w:rsidRPr="006D05DF" w:rsidP="006D05DF" w14:paraId="77DB0352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81B603E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Parágrafo único. Esta Lei limita-se à disciplina da utilização dos bens públicos municipais, não interferindo na atividade econômica das empresas autorizadas pela União.</w:t>
      </w:r>
    </w:p>
    <w:p w:rsidR="006D05DF" w:rsidRPr="006D05DF" w:rsidP="006D05DF" w14:paraId="3D480350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EB3F745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b/>
          <w:bCs/>
          <w:sz w:val="26"/>
          <w:szCs w:val="26"/>
        </w:rPr>
        <w:t>⸻</w:t>
      </w:r>
    </w:p>
    <w:p w:rsidR="006D05DF" w:rsidRPr="006D05DF" w:rsidP="006D05DF" w14:paraId="2921D86D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2789695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CAPÍTULO IV</w:t>
      </w:r>
    </w:p>
    <w:p w:rsidR="006D05DF" w:rsidRPr="006D05DF" w:rsidP="006D05DF" w14:paraId="37358275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ADAA26A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DO PROGRAMA MUNICIPAL DE PREVENÇÃO À LUDOPATIA</w:t>
      </w:r>
    </w:p>
    <w:p w:rsidR="006D05DF" w:rsidRPr="006D05DF" w:rsidP="006D05DF" w14:paraId="5095832A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2D5C71D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Art. 7º Fica instituído o Programa Municipal de Prevenção à </w:t>
      </w:r>
      <w:r w:rsidRPr="006D05DF">
        <w:rPr>
          <w:rFonts w:ascii="Cambria" w:hAnsi="Cambria"/>
          <w:b/>
          <w:bCs/>
          <w:sz w:val="26"/>
          <w:szCs w:val="26"/>
        </w:rPr>
        <w:t>Ludopatia</w:t>
      </w:r>
      <w:r w:rsidRPr="006D05DF">
        <w:rPr>
          <w:rFonts w:ascii="Cambria" w:hAnsi="Cambria"/>
          <w:b/>
          <w:bCs/>
          <w:sz w:val="26"/>
          <w:szCs w:val="26"/>
        </w:rPr>
        <w:t>.</w:t>
      </w:r>
    </w:p>
    <w:p w:rsidR="006D05DF" w:rsidRPr="006D05DF" w:rsidP="006D05DF" w14:paraId="2E4469BF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1997F6F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8º O Programa observará as seguintes diretrizes:</w:t>
      </w:r>
    </w:p>
    <w:p w:rsidR="006D05DF" w:rsidRPr="006D05DF" w:rsidP="006D05DF" w14:paraId="48BA7DE5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57C995A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 – </w:t>
      </w:r>
      <w:r w:rsidRPr="006D05DF">
        <w:rPr>
          <w:rFonts w:ascii="Cambria" w:hAnsi="Cambria"/>
          <w:b/>
          <w:bCs/>
          <w:sz w:val="26"/>
          <w:szCs w:val="26"/>
        </w:rPr>
        <w:t>realização</w:t>
      </w:r>
      <w:r w:rsidRPr="006D05DF">
        <w:rPr>
          <w:rFonts w:ascii="Cambria" w:hAnsi="Cambria"/>
          <w:b/>
          <w:bCs/>
          <w:sz w:val="26"/>
          <w:szCs w:val="26"/>
        </w:rPr>
        <w:t xml:space="preserve"> de campanhas educativas;</w:t>
      </w:r>
    </w:p>
    <w:p w:rsidR="006D05DF" w:rsidRPr="006D05DF" w:rsidP="006D05DF" w14:paraId="0813DF66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7D6E0D64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II – </w:t>
      </w:r>
      <w:r w:rsidRPr="006D05DF">
        <w:rPr>
          <w:rFonts w:ascii="Cambria" w:hAnsi="Cambria"/>
          <w:b/>
          <w:bCs/>
          <w:sz w:val="26"/>
          <w:szCs w:val="26"/>
        </w:rPr>
        <w:t>divulgação</w:t>
      </w:r>
      <w:r w:rsidRPr="006D05DF">
        <w:rPr>
          <w:rFonts w:ascii="Cambria" w:hAnsi="Cambria"/>
          <w:b/>
          <w:bCs/>
          <w:sz w:val="26"/>
          <w:szCs w:val="26"/>
        </w:rPr>
        <w:t xml:space="preserve"> dos riscos associados às apostas;</w:t>
      </w:r>
    </w:p>
    <w:p w:rsidR="006D05DF" w:rsidRPr="006D05DF" w:rsidP="006D05DF" w14:paraId="02049E28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6341C82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III – orientação às famílias;</w:t>
      </w:r>
    </w:p>
    <w:p w:rsidR="006D05DF" w:rsidRPr="006D05DF" w:rsidP="006D05DF" w14:paraId="18364EA5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7673C8E0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IV – </w:t>
      </w:r>
      <w:r w:rsidRPr="006D05DF">
        <w:rPr>
          <w:rFonts w:ascii="Cambria" w:hAnsi="Cambria"/>
          <w:b/>
          <w:bCs/>
          <w:sz w:val="26"/>
          <w:szCs w:val="26"/>
        </w:rPr>
        <w:t>incentivo</w:t>
      </w:r>
      <w:r w:rsidRPr="006D05DF">
        <w:rPr>
          <w:rFonts w:ascii="Cambria" w:hAnsi="Cambria"/>
          <w:b/>
          <w:bCs/>
          <w:sz w:val="26"/>
          <w:szCs w:val="26"/>
        </w:rPr>
        <w:t xml:space="preserve"> ao jogo responsável;</w:t>
      </w:r>
    </w:p>
    <w:p w:rsidR="006D05DF" w:rsidRPr="006D05DF" w:rsidP="006D05DF" w14:paraId="52EE2C20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61FBBB1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 – </w:t>
      </w:r>
      <w:r w:rsidRPr="006D05DF">
        <w:rPr>
          <w:rFonts w:ascii="Cambria" w:hAnsi="Cambria"/>
          <w:b/>
          <w:bCs/>
          <w:sz w:val="26"/>
          <w:szCs w:val="26"/>
        </w:rPr>
        <w:t>promoção</w:t>
      </w:r>
      <w:r w:rsidRPr="006D05DF">
        <w:rPr>
          <w:rFonts w:ascii="Cambria" w:hAnsi="Cambria"/>
          <w:b/>
          <w:bCs/>
          <w:sz w:val="26"/>
          <w:szCs w:val="26"/>
        </w:rPr>
        <w:t xml:space="preserve"> da saúde mental;</w:t>
      </w:r>
    </w:p>
    <w:p w:rsidR="006D05DF" w:rsidRPr="006D05DF" w:rsidP="006D05DF" w14:paraId="5A7036A3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DECF40B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VI – </w:t>
      </w:r>
      <w:r w:rsidRPr="006D05DF">
        <w:rPr>
          <w:rFonts w:ascii="Cambria" w:hAnsi="Cambria"/>
          <w:b/>
          <w:bCs/>
          <w:sz w:val="26"/>
          <w:szCs w:val="26"/>
        </w:rPr>
        <w:t>encaminhamento</w:t>
      </w:r>
      <w:r w:rsidRPr="006D05DF">
        <w:rPr>
          <w:rFonts w:ascii="Cambria" w:hAnsi="Cambria"/>
          <w:b/>
          <w:bCs/>
          <w:sz w:val="26"/>
          <w:szCs w:val="26"/>
        </w:rPr>
        <w:t>, quando necessário, aos serviços da Rede Municipal de Saúde;</w:t>
      </w:r>
    </w:p>
    <w:p w:rsidR="006D05DF" w:rsidRPr="006D05DF" w:rsidP="006D05DF" w14:paraId="265B01E5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C647501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VII – apoio às ações de prevenção ao </w:t>
      </w:r>
      <w:r w:rsidRPr="006D05DF">
        <w:rPr>
          <w:rFonts w:ascii="Cambria" w:hAnsi="Cambria"/>
          <w:b/>
          <w:bCs/>
          <w:sz w:val="26"/>
          <w:szCs w:val="26"/>
        </w:rPr>
        <w:t>superendividamento</w:t>
      </w:r>
      <w:r w:rsidRPr="006D05DF">
        <w:rPr>
          <w:rFonts w:ascii="Cambria" w:hAnsi="Cambria"/>
          <w:b/>
          <w:bCs/>
          <w:sz w:val="26"/>
          <w:szCs w:val="26"/>
        </w:rPr>
        <w:t>.</w:t>
      </w:r>
    </w:p>
    <w:p w:rsidR="006D05DF" w:rsidRPr="006D05DF" w:rsidP="006D05DF" w14:paraId="04E94D6E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54C32EE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9º O Poder Executivo poderá promover a capacitação dos profissionais da rede pública municipal para identificação precoce de sinais relacionados à dependência em jogos e apostas.</w:t>
      </w:r>
    </w:p>
    <w:p w:rsidR="006D05DF" w:rsidRPr="006D05DF" w:rsidP="006D05DF" w14:paraId="574A9041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628CE581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10. O Município poderá celebrar parcerias com:</w:t>
      </w:r>
    </w:p>
    <w:p w:rsidR="006D05DF" w:rsidRPr="006D05DF" w:rsidP="006D05DF" w14:paraId="524D622D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7DBC29CB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 – </w:t>
      </w:r>
      <w:r w:rsidRPr="006D05DF">
        <w:rPr>
          <w:rFonts w:ascii="Cambria" w:hAnsi="Cambria"/>
          <w:b/>
          <w:bCs/>
          <w:sz w:val="26"/>
          <w:szCs w:val="26"/>
        </w:rPr>
        <w:t>universidades</w:t>
      </w:r>
      <w:r w:rsidRPr="006D05DF">
        <w:rPr>
          <w:rFonts w:ascii="Cambria" w:hAnsi="Cambria"/>
          <w:b/>
          <w:bCs/>
          <w:sz w:val="26"/>
          <w:szCs w:val="26"/>
        </w:rPr>
        <w:t>;</w:t>
      </w:r>
    </w:p>
    <w:p w:rsidR="006D05DF" w:rsidRPr="006D05DF" w:rsidP="006D05DF" w14:paraId="369C3B98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2A710F6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II – </w:t>
      </w:r>
      <w:r w:rsidRPr="006D05DF">
        <w:rPr>
          <w:rFonts w:ascii="Cambria" w:hAnsi="Cambria"/>
          <w:b/>
          <w:bCs/>
          <w:sz w:val="26"/>
          <w:szCs w:val="26"/>
        </w:rPr>
        <w:t>instituições</w:t>
      </w:r>
      <w:r w:rsidRPr="006D05DF">
        <w:rPr>
          <w:rFonts w:ascii="Cambria" w:hAnsi="Cambria"/>
          <w:b/>
          <w:bCs/>
          <w:sz w:val="26"/>
          <w:szCs w:val="26"/>
        </w:rPr>
        <w:t xml:space="preserve"> de ensino;</w:t>
      </w:r>
    </w:p>
    <w:p w:rsidR="006D05DF" w:rsidRPr="006D05DF" w:rsidP="006D05DF" w14:paraId="7E425F91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53593257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III – organizações da sociedade civil;</w:t>
      </w:r>
    </w:p>
    <w:p w:rsidR="006D05DF" w:rsidRPr="006D05DF" w:rsidP="006D05DF" w14:paraId="1FED0667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631B6C3E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IV – </w:t>
      </w:r>
      <w:r w:rsidRPr="006D05DF">
        <w:rPr>
          <w:rFonts w:ascii="Cambria" w:hAnsi="Cambria"/>
          <w:b/>
          <w:bCs/>
          <w:sz w:val="26"/>
          <w:szCs w:val="26"/>
        </w:rPr>
        <w:t>conselhos</w:t>
      </w:r>
      <w:r w:rsidRPr="006D05DF">
        <w:rPr>
          <w:rFonts w:ascii="Cambria" w:hAnsi="Cambria"/>
          <w:b/>
          <w:bCs/>
          <w:sz w:val="26"/>
          <w:szCs w:val="26"/>
        </w:rPr>
        <w:t xml:space="preserve"> profissionais;</w:t>
      </w:r>
    </w:p>
    <w:p w:rsidR="006D05DF" w:rsidRPr="006D05DF" w:rsidP="006D05DF" w14:paraId="2E1463A9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5F401BC4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 – </w:t>
      </w:r>
      <w:r w:rsidRPr="006D05DF">
        <w:rPr>
          <w:rFonts w:ascii="Cambria" w:hAnsi="Cambria"/>
          <w:b/>
          <w:bCs/>
          <w:sz w:val="26"/>
          <w:szCs w:val="26"/>
        </w:rPr>
        <w:t>entidades</w:t>
      </w:r>
      <w:r w:rsidRPr="006D05DF">
        <w:rPr>
          <w:rFonts w:ascii="Cambria" w:hAnsi="Cambria"/>
          <w:b/>
          <w:bCs/>
          <w:sz w:val="26"/>
          <w:szCs w:val="26"/>
        </w:rPr>
        <w:t xml:space="preserve"> voltadas à saúde mental;</w:t>
      </w:r>
    </w:p>
    <w:p w:rsidR="006D05DF" w:rsidRPr="006D05DF" w:rsidP="006D05DF" w14:paraId="39761215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1A08E58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VI – Ministério Público;</w:t>
      </w:r>
    </w:p>
    <w:p w:rsidR="006D05DF" w:rsidRPr="006D05DF" w:rsidP="006D05DF" w14:paraId="078169DD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AC6F6FE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VII – Defensoria Pública;</w:t>
      </w:r>
    </w:p>
    <w:p w:rsidR="006D05DF" w:rsidRPr="006D05DF" w:rsidP="006D05DF" w14:paraId="0DFE13A1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6743BCCC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VIII – demais instituições públicas ou privadas que atuem na prevenção da </w:t>
      </w:r>
      <w:r w:rsidRPr="006D05DF">
        <w:rPr>
          <w:rFonts w:ascii="Cambria" w:hAnsi="Cambria"/>
          <w:b/>
          <w:bCs/>
          <w:sz w:val="26"/>
          <w:szCs w:val="26"/>
        </w:rPr>
        <w:t>ludopatia</w:t>
      </w:r>
      <w:r w:rsidRPr="006D05DF">
        <w:rPr>
          <w:rFonts w:ascii="Cambria" w:hAnsi="Cambria"/>
          <w:b/>
          <w:bCs/>
          <w:sz w:val="26"/>
          <w:szCs w:val="26"/>
        </w:rPr>
        <w:t>.</w:t>
      </w:r>
    </w:p>
    <w:p w:rsidR="006D05DF" w:rsidRPr="006D05DF" w:rsidP="006D05DF" w14:paraId="2CAED43C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A10D62A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b/>
          <w:bCs/>
          <w:sz w:val="26"/>
          <w:szCs w:val="26"/>
        </w:rPr>
        <w:t>⸻</w:t>
      </w:r>
    </w:p>
    <w:p w:rsidR="006D05DF" w:rsidRPr="006D05DF" w:rsidP="006D05DF" w14:paraId="02F4F755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AC124D7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CAPÍTULO V</w:t>
      </w:r>
    </w:p>
    <w:p w:rsidR="006D05DF" w:rsidRPr="006D05DF" w:rsidP="006D05DF" w14:paraId="2EAEFEFC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A78E0D5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DAS AÇÕES EDUCATIVAS</w:t>
      </w:r>
    </w:p>
    <w:p w:rsidR="006D05DF" w:rsidRPr="006D05DF" w:rsidP="006D05DF" w14:paraId="5A56070F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159AB12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11. O Poder Executivo poderá promover ações educativas voltadas à conscientização sobre os riscos das apostas eletrônicas na rede municipal de ensino, respeitada a autonomia pedagógica das unidades escolares.</w:t>
      </w:r>
    </w:p>
    <w:p w:rsidR="006D05DF" w:rsidRPr="006D05DF" w:rsidP="006D05DF" w14:paraId="5804A0D0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49A2C25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12. As ações poderão compreender:</w:t>
      </w:r>
    </w:p>
    <w:p w:rsidR="006D05DF" w:rsidRPr="006D05DF" w:rsidP="006D05DF" w14:paraId="699C6673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0132FE8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 – </w:t>
      </w:r>
      <w:r w:rsidRPr="006D05DF">
        <w:rPr>
          <w:rFonts w:ascii="Cambria" w:hAnsi="Cambria"/>
          <w:b/>
          <w:bCs/>
          <w:sz w:val="26"/>
          <w:szCs w:val="26"/>
        </w:rPr>
        <w:t>palestras</w:t>
      </w:r>
      <w:r w:rsidRPr="006D05DF">
        <w:rPr>
          <w:rFonts w:ascii="Cambria" w:hAnsi="Cambria"/>
          <w:b/>
          <w:bCs/>
          <w:sz w:val="26"/>
          <w:szCs w:val="26"/>
        </w:rPr>
        <w:t>;</w:t>
      </w:r>
    </w:p>
    <w:p w:rsidR="006D05DF" w:rsidRPr="006D05DF" w:rsidP="006D05DF" w14:paraId="6B21A0DC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4250000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II – </w:t>
      </w:r>
      <w:r w:rsidRPr="006D05DF">
        <w:rPr>
          <w:rFonts w:ascii="Cambria" w:hAnsi="Cambria"/>
          <w:b/>
          <w:bCs/>
          <w:sz w:val="26"/>
          <w:szCs w:val="26"/>
        </w:rPr>
        <w:t>oficinas</w:t>
      </w:r>
      <w:r w:rsidRPr="006D05DF">
        <w:rPr>
          <w:rFonts w:ascii="Cambria" w:hAnsi="Cambria"/>
          <w:b/>
          <w:bCs/>
          <w:sz w:val="26"/>
          <w:szCs w:val="26"/>
        </w:rPr>
        <w:t>;</w:t>
      </w:r>
    </w:p>
    <w:p w:rsidR="006D05DF" w:rsidRPr="006D05DF" w:rsidP="006D05DF" w14:paraId="1A7DBF04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6515CD13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III – rodas de conversa;</w:t>
      </w:r>
    </w:p>
    <w:p w:rsidR="006D05DF" w:rsidRPr="006D05DF" w:rsidP="006D05DF" w14:paraId="10693CD4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04F4C36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IV – </w:t>
      </w:r>
      <w:r w:rsidRPr="006D05DF">
        <w:rPr>
          <w:rFonts w:ascii="Cambria" w:hAnsi="Cambria"/>
          <w:b/>
          <w:bCs/>
          <w:sz w:val="26"/>
          <w:szCs w:val="26"/>
        </w:rPr>
        <w:t>campanhas</w:t>
      </w:r>
      <w:r w:rsidRPr="006D05DF">
        <w:rPr>
          <w:rFonts w:ascii="Cambria" w:hAnsi="Cambria"/>
          <w:b/>
          <w:bCs/>
          <w:sz w:val="26"/>
          <w:szCs w:val="26"/>
        </w:rPr>
        <w:t xml:space="preserve"> educativas;</w:t>
      </w:r>
    </w:p>
    <w:p w:rsidR="006D05DF" w:rsidRPr="006D05DF" w:rsidP="006D05DF" w14:paraId="6D2B7A1F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7F8F48B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 – </w:t>
      </w:r>
      <w:r w:rsidRPr="006D05DF">
        <w:rPr>
          <w:rFonts w:ascii="Cambria" w:hAnsi="Cambria"/>
          <w:b/>
          <w:bCs/>
          <w:sz w:val="26"/>
          <w:szCs w:val="26"/>
        </w:rPr>
        <w:t>atividades</w:t>
      </w:r>
      <w:r w:rsidRPr="006D05DF">
        <w:rPr>
          <w:rFonts w:ascii="Cambria" w:hAnsi="Cambria"/>
          <w:b/>
          <w:bCs/>
          <w:sz w:val="26"/>
          <w:szCs w:val="26"/>
        </w:rPr>
        <w:t xml:space="preserve"> de educação financeira;</w:t>
      </w:r>
    </w:p>
    <w:p w:rsidR="006D05DF" w:rsidRPr="006D05DF" w:rsidP="006D05DF" w14:paraId="64CA46F2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F109292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VI – </w:t>
      </w:r>
      <w:r w:rsidRPr="006D05DF">
        <w:rPr>
          <w:rFonts w:ascii="Cambria" w:hAnsi="Cambria"/>
          <w:b/>
          <w:bCs/>
          <w:sz w:val="26"/>
          <w:szCs w:val="26"/>
        </w:rPr>
        <w:t>ações</w:t>
      </w:r>
      <w:r w:rsidRPr="006D05DF">
        <w:rPr>
          <w:rFonts w:ascii="Cambria" w:hAnsi="Cambria"/>
          <w:b/>
          <w:bCs/>
          <w:sz w:val="26"/>
          <w:szCs w:val="26"/>
        </w:rPr>
        <w:t xml:space="preserve"> de prevenção ao </w:t>
      </w:r>
      <w:r w:rsidRPr="006D05DF">
        <w:rPr>
          <w:rFonts w:ascii="Cambria" w:hAnsi="Cambria"/>
          <w:b/>
          <w:bCs/>
          <w:sz w:val="26"/>
          <w:szCs w:val="26"/>
        </w:rPr>
        <w:t>superendividamento</w:t>
      </w:r>
      <w:r w:rsidRPr="006D05DF">
        <w:rPr>
          <w:rFonts w:ascii="Cambria" w:hAnsi="Cambria"/>
          <w:b/>
          <w:bCs/>
          <w:sz w:val="26"/>
          <w:szCs w:val="26"/>
        </w:rPr>
        <w:t>;</w:t>
      </w:r>
    </w:p>
    <w:p w:rsidR="006D05DF" w:rsidRPr="006D05DF" w:rsidP="006D05DF" w14:paraId="79D3D103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E066875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VII – orientação sobre o uso responsável das tecnologias digitais.</w:t>
      </w:r>
    </w:p>
    <w:p w:rsidR="006D05DF" w:rsidRPr="006D05DF" w:rsidP="006D05DF" w14:paraId="66E240D2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0DD9CD9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Parágrafo único. As atividades deverão observar a faixa etária dos estudantes e integrar-se, sempre que possível, ao Projeto Político-Pedagógico das unidades escolares.</w:t>
      </w:r>
    </w:p>
    <w:p w:rsidR="006D05DF" w:rsidRPr="006D05DF" w:rsidP="006D05DF" w14:paraId="20D6DB2B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6DA2CC25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b/>
          <w:bCs/>
          <w:sz w:val="26"/>
          <w:szCs w:val="26"/>
        </w:rPr>
        <w:t>⸻</w:t>
      </w:r>
    </w:p>
    <w:p w:rsidR="006D05DF" w:rsidRPr="006D05DF" w:rsidP="006D05DF" w14:paraId="197EAB3E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B7C307B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CAPÍTULO VI</w:t>
      </w:r>
    </w:p>
    <w:p w:rsidR="006D05DF" w:rsidRPr="006D05DF" w:rsidP="006D05DF" w14:paraId="565CB90C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E33DD72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DA PROTEÇÃO À INFÂNCIA E À JUVENTUDE</w:t>
      </w:r>
    </w:p>
    <w:p w:rsidR="006D05DF" w:rsidRPr="006D05DF" w:rsidP="006D05DF" w14:paraId="66C34151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6BADB7A2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13. As campanhas desenvolvidas pelo Município deverão observar prioridade absoluta à proteção de crianças e adolescentes, nos termos da Constituição Federal e do Estatuto da Criança e do Adolescente.</w:t>
      </w:r>
    </w:p>
    <w:p w:rsidR="006D05DF" w:rsidRPr="006D05DF" w:rsidP="006D05DF" w14:paraId="026AC1AF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5495058E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b/>
          <w:bCs/>
          <w:sz w:val="26"/>
          <w:szCs w:val="26"/>
        </w:rPr>
        <w:t>⸻</w:t>
      </w:r>
    </w:p>
    <w:p w:rsidR="006D05DF" w:rsidRPr="006D05DF" w:rsidP="006D05DF" w14:paraId="7402EE27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F774FA5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CAPÍTULO VII</w:t>
      </w:r>
    </w:p>
    <w:p w:rsidR="006D05DF" w:rsidRPr="006D05DF" w:rsidP="006D05DF" w14:paraId="0F3741FD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55EB409B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DO MONITORAMENTO</w:t>
      </w:r>
    </w:p>
    <w:p w:rsidR="006D05DF" w:rsidRPr="006D05DF" w:rsidP="006D05DF" w14:paraId="3D1A4EE7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551D088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14. O Poder Executivo poderá realizar estudos e levantamentos estatísticos sobre os impactos sociais das apostas eletrônicas no Município, observada a legislação de proteção de dados pessoais.</w:t>
      </w:r>
    </w:p>
    <w:p w:rsidR="006D05DF" w:rsidRPr="006D05DF" w:rsidP="006D05DF" w14:paraId="1EB9B85E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55E2A226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Parágrafo único. Os estudos poderão subsidiar futuras políticas públicas de saúde, educação, assistência social e proteção da infância.</w:t>
      </w:r>
    </w:p>
    <w:p w:rsidR="006D05DF" w:rsidRPr="006D05DF" w:rsidP="006D05DF" w14:paraId="727367E4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506578BC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b/>
          <w:bCs/>
          <w:sz w:val="26"/>
          <w:szCs w:val="26"/>
        </w:rPr>
        <w:t>⸻</w:t>
      </w:r>
    </w:p>
    <w:p w:rsidR="006D05DF" w:rsidRPr="006D05DF" w:rsidP="006D05DF" w14:paraId="5FD59525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FC785E8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CAPÍTULO VIII</w:t>
      </w:r>
    </w:p>
    <w:p w:rsidR="006D05DF" w:rsidRPr="006D05DF" w:rsidP="006D05DF" w14:paraId="4468EA7A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7F811F5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DAS DISPOSIÇÕES FINAIS</w:t>
      </w:r>
    </w:p>
    <w:p w:rsidR="006D05DF" w:rsidRPr="006D05DF" w:rsidP="006D05DF" w14:paraId="52D589FE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651BB2A2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15. As ações previstas nesta Lei serão implementadas de acordo com a disponibilidade orçamentária e financeira do Município, utilizando-se, preferencialmente, a estrutura administrativa já existente.</w:t>
      </w:r>
    </w:p>
    <w:p w:rsidR="006D05DF" w:rsidRPr="006D05DF" w:rsidP="006D05DF" w14:paraId="72A0D720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F69E482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16. Aplicam-se às infrações relativas à utilização irregular dos bens públicos municipais as penalidades previstas na legislação municipal pertinente.</w:t>
      </w:r>
    </w:p>
    <w:p w:rsidR="006D05DF" w:rsidRPr="006D05DF" w:rsidP="006D05DF" w14:paraId="3C7008B2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10A7AB8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17. O Poder Executivo regulamentará esta Lei no que couber, observadas a Constituição Federal e a legislação federal aplicável.</w:t>
      </w:r>
    </w:p>
    <w:p w:rsidR="006D05DF" w:rsidRPr="006D05DF" w:rsidP="006D05DF" w14:paraId="7A12A774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8AEF956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18. A interpretação desta Lei deverá observar os princípios da livre iniciativa, da livre concorrência e da competência legislativa da União para disciplinar a exploração das apostas de quota fixa, limitando-se a presente norma às matérias de competência constitucional do Município.</w:t>
      </w:r>
    </w:p>
    <w:p w:rsidR="006D05DF" w:rsidRPr="006D05DF" w:rsidP="006D05DF" w14:paraId="2BA03D2C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3D578E29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Art. 19. Esta Lei entra em vigor na data de sua publicação.</w:t>
      </w:r>
    </w:p>
    <w:p w:rsidR="006D05DF" w:rsidRPr="006D05DF" w:rsidP="006D05DF" w14:paraId="62F5982E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02DBFC06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b/>
          <w:bCs/>
          <w:sz w:val="26"/>
          <w:szCs w:val="26"/>
        </w:rPr>
        <w:t>⸻</w:t>
      </w:r>
    </w:p>
    <w:p w:rsidR="006D05DF" w:rsidRPr="006D05DF" w:rsidP="006D05DF" w14:paraId="4C602774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1FD66C9B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JUSTIFICATIVA</w:t>
      </w:r>
    </w:p>
    <w:p w:rsidR="006D05DF" w:rsidRPr="006D05DF" w:rsidP="006D05DF" w14:paraId="00112A2A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D8B350C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O crescimento das apostas eletrônicas no Brasil tem gerado impactos significativos na saúde mental, no orçamento das famílias e na proteção de crianças e adolescentes. O aumento dos casos de </w:t>
      </w:r>
      <w:r w:rsidRPr="006D05DF">
        <w:rPr>
          <w:rFonts w:ascii="Cambria" w:hAnsi="Cambria"/>
          <w:b/>
          <w:bCs/>
          <w:sz w:val="26"/>
          <w:szCs w:val="26"/>
        </w:rPr>
        <w:t>ludopatia</w:t>
      </w:r>
      <w:r w:rsidRPr="006D05DF">
        <w:rPr>
          <w:rFonts w:ascii="Cambria" w:hAnsi="Cambria"/>
          <w:b/>
          <w:bCs/>
          <w:sz w:val="26"/>
          <w:szCs w:val="26"/>
        </w:rPr>
        <w:t>, endividamento e transtornos associados ao jogo compulsivo evidencia a necessidade de políticas públicas preventivas no âmbito municipal.</w:t>
      </w:r>
    </w:p>
    <w:p w:rsidR="006D05DF" w:rsidRPr="006D05DF" w:rsidP="006D05DF" w14:paraId="507ED225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2C50B32E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 Constituição Federal assegura aos Municípios competência para legislar sobre assuntos de interesse local e suplementar a legislação federal e estadual no que couber (art. 30, I e II), além de lhes atribuir responsabilidades na promoção da saúde (</w:t>
      </w:r>
      <w:r w:rsidRPr="006D05DF">
        <w:rPr>
          <w:rFonts w:ascii="Cambria" w:hAnsi="Cambria"/>
          <w:b/>
          <w:bCs/>
          <w:sz w:val="26"/>
          <w:szCs w:val="26"/>
        </w:rPr>
        <w:t>arts</w:t>
      </w:r>
      <w:r w:rsidRPr="006D05DF">
        <w:rPr>
          <w:rFonts w:ascii="Cambria" w:hAnsi="Cambria"/>
          <w:b/>
          <w:bCs/>
          <w:sz w:val="26"/>
          <w:szCs w:val="26"/>
        </w:rPr>
        <w:t>. 23, II, e 196), na proteção integral da criança e do adolescente (art. 227) e na organização dos bens e serviços públicos sob sua administração.</w:t>
      </w:r>
    </w:p>
    <w:p w:rsidR="006D05DF" w:rsidRPr="006D05DF" w:rsidP="006D05DF" w14:paraId="2EF6A81B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79BD6B8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O presente Projeto de Lei não pretende disciplinar a atividade econômica das empresas de apostas, matéria de competência da União. Seu objetivo é instituir uma política pública municipal voltada à prevenção da </w:t>
      </w:r>
      <w:r w:rsidRPr="006D05DF">
        <w:rPr>
          <w:rFonts w:ascii="Cambria" w:hAnsi="Cambria"/>
          <w:b/>
          <w:bCs/>
          <w:sz w:val="26"/>
          <w:szCs w:val="26"/>
        </w:rPr>
        <w:t>ludopatia</w:t>
      </w:r>
      <w:r w:rsidRPr="006D05DF">
        <w:rPr>
          <w:rFonts w:ascii="Cambria" w:hAnsi="Cambria"/>
          <w:b/>
          <w:bCs/>
          <w:sz w:val="26"/>
          <w:szCs w:val="26"/>
        </w:rPr>
        <w:t>, à promoção do jogo responsável, à educação financeira e à proteção da população, bem como disciplinar a utilização de bens públicos municipais para fins de publicidade dessas atividades.</w:t>
      </w:r>
    </w:p>
    <w:p w:rsidR="006D05DF" w:rsidRPr="006D05DF" w:rsidP="006D05DF" w14:paraId="4089328D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6A651FAA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A proposta está estruturada em quatro eixos fundamentais:</w:t>
      </w:r>
    </w:p>
    <w:p w:rsidR="006D05DF" w:rsidRPr="006D05DF" w:rsidP="006D05DF" w14:paraId="447CB1CC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7EBDAE4E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1. Restrição da publicidade de apostas em bens e espaços públicos municipais.</w:t>
      </w:r>
    </w:p>
    <w:p w:rsidR="006D05DF" w:rsidRPr="006D05DF" w:rsidP="006D05DF" w14:paraId="4DD4E650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2. Instituição da Política Municipal de Prevenção à </w:t>
      </w:r>
      <w:r w:rsidRPr="006D05DF">
        <w:rPr>
          <w:rFonts w:ascii="Cambria" w:hAnsi="Cambria"/>
          <w:b/>
          <w:bCs/>
          <w:sz w:val="26"/>
          <w:szCs w:val="26"/>
        </w:rPr>
        <w:t>Ludopatia</w:t>
      </w:r>
      <w:r w:rsidRPr="006D05DF">
        <w:rPr>
          <w:rFonts w:ascii="Cambria" w:hAnsi="Cambria"/>
          <w:b/>
          <w:bCs/>
          <w:sz w:val="26"/>
          <w:szCs w:val="26"/>
        </w:rPr>
        <w:t>.</w:t>
      </w:r>
    </w:p>
    <w:p w:rsidR="006D05DF" w:rsidRPr="006D05DF" w:rsidP="006D05DF" w14:paraId="7B946E30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3. Promoção da saúde mental e acolhimento por meio da rede pública.</w:t>
      </w:r>
    </w:p>
    <w:p w:rsidR="006D05DF" w:rsidRPr="006D05DF" w:rsidP="006D05DF" w14:paraId="0854338F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4. Desenvolvimento de ações educativas e de educação financeira na rede municipal de ensino.</w:t>
      </w:r>
    </w:p>
    <w:p w:rsidR="006D05DF" w:rsidRPr="006D05DF" w:rsidP="006D05DF" w14:paraId="214A9BD7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RPr="006D05DF" w:rsidP="006D05DF" w14:paraId="464944FF" w14:textId="77777777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 xml:space="preserve">A iniciativa encontra respaldo nos </w:t>
      </w:r>
      <w:r w:rsidRPr="006D05DF">
        <w:rPr>
          <w:rFonts w:ascii="Cambria" w:hAnsi="Cambria"/>
          <w:b/>
          <w:bCs/>
          <w:sz w:val="26"/>
          <w:szCs w:val="26"/>
        </w:rPr>
        <w:t>arts</w:t>
      </w:r>
      <w:r w:rsidRPr="006D05DF">
        <w:rPr>
          <w:rFonts w:ascii="Cambria" w:hAnsi="Cambria"/>
          <w:b/>
          <w:bCs/>
          <w:sz w:val="26"/>
          <w:szCs w:val="26"/>
        </w:rPr>
        <w:t>. 6º, 23, II, 30, I e II, 196 e 227 da Constituição Federal, nos princípios do Estatuto da Criança e do Adolescente e na proteção do consumidor prevista no Código de Defesa do Consumidor.</w:t>
      </w:r>
    </w:p>
    <w:p w:rsidR="006D05DF" w:rsidRPr="006D05DF" w:rsidP="006D05DF" w14:paraId="03E8C5D4" w14:textId="77777777">
      <w:pPr>
        <w:rPr>
          <w:rFonts w:ascii="Cambria" w:hAnsi="Cambria"/>
          <w:b/>
          <w:bCs/>
          <w:sz w:val="26"/>
          <w:szCs w:val="26"/>
        </w:rPr>
      </w:pPr>
    </w:p>
    <w:p w:rsidR="006D05DF" w:rsidP="006D05DF" w14:paraId="5429EE5B" w14:textId="038EE140">
      <w:pPr>
        <w:rPr>
          <w:rFonts w:ascii="Cambria" w:hAnsi="Cambria"/>
          <w:b/>
          <w:bCs/>
          <w:sz w:val="26"/>
          <w:szCs w:val="26"/>
        </w:rPr>
      </w:pPr>
      <w:r w:rsidRPr="006D05DF">
        <w:rPr>
          <w:rFonts w:ascii="Cambria" w:hAnsi="Cambria"/>
          <w:b/>
          <w:bCs/>
          <w:sz w:val="26"/>
          <w:szCs w:val="26"/>
        </w:rPr>
        <w:t>Por essas razões, submeto o presente Projeto de Lei à apreciação dos Nobres Vereadores, esperando contar com o apoio para sua aprovação.</w:t>
      </w:r>
    </w:p>
    <w:p w:rsidR="006D05DF" w:rsidP="006D05DF" w14:paraId="1B6411FE" w14:textId="69130A86">
      <w:pPr>
        <w:rPr>
          <w:rFonts w:ascii="Cambria" w:hAnsi="Cambria"/>
          <w:b/>
          <w:bCs/>
          <w:sz w:val="26"/>
          <w:szCs w:val="26"/>
        </w:rPr>
      </w:pPr>
    </w:p>
    <w:p w:rsidR="006D05DF" w:rsidP="006D05DF" w14:paraId="1A879AF0" w14:textId="5F4F9E03">
      <w:pPr>
        <w:rPr>
          <w:rFonts w:ascii="Cambria" w:hAnsi="Cambria"/>
          <w:b/>
          <w:bCs/>
          <w:sz w:val="26"/>
          <w:szCs w:val="26"/>
        </w:rPr>
      </w:pPr>
    </w:p>
    <w:p w:rsidR="006D05DF" w:rsidP="006D05DF" w14:paraId="0C6DB51B" w14:textId="67C98261">
      <w:pPr>
        <w:rPr>
          <w:rFonts w:ascii="Cambria" w:hAnsi="Cambria"/>
          <w:b/>
          <w:bCs/>
          <w:sz w:val="26"/>
          <w:szCs w:val="26"/>
        </w:rPr>
      </w:pPr>
    </w:p>
    <w:p w:rsidR="006D05DF" w:rsidP="006D05DF" w14:paraId="389BBE92" w14:textId="49EAC021">
      <w:pPr>
        <w:rPr>
          <w:rFonts w:ascii="Cambria" w:hAnsi="Cambria"/>
          <w:b/>
          <w:bCs/>
          <w:sz w:val="26"/>
          <w:szCs w:val="26"/>
        </w:rPr>
      </w:pPr>
    </w:p>
    <w:p w:rsidR="006D05DF" w:rsidP="006D05DF" w14:paraId="4DD98AB4" w14:textId="2DAAF7A1">
      <w:pPr>
        <w:rPr>
          <w:rFonts w:ascii="Cambria" w:hAnsi="Cambria"/>
          <w:b/>
          <w:bCs/>
          <w:sz w:val="26"/>
          <w:szCs w:val="26"/>
        </w:rPr>
      </w:pPr>
    </w:p>
    <w:p w:rsidR="006D05DF" w:rsidP="006D05DF" w14:paraId="12EAA5F8" w14:textId="4EEDE3B3">
      <w:pPr>
        <w:rPr>
          <w:rFonts w:ascii="Cambria" w:hAnsi="Cambria"/>
          <w:b/>
          <w:bCs/>
          <w:sz w:val="26"/>
          <w:szCs w:val="26"/>
        </w:rPr>
      </w:pPr>
    </w:p>
    <w:p w:rsidR="006D05DF" w:rsidP="006D05DF" w14:paraId="1745243E" w14:textId="528C2CAC">
      <w:pPr>
        <w:rPr>
          <w:rFonts w:ascii="Cambria" w:hAnsi="Cambria"/>
          <w:b/>
          <w:bCs/>
          <w:sz w:val="26"/>
          <w:szCs w:val="26"/>
        </w:rPr>
      </w:pPr>
    </w:p>
    <w:p w:rsidR="006D05DF" w:rsidP="006D05DF" w14:paraId="669AADA1" w14:textId="5703EFF3">
      <w:pPr>
        <w:rPr>
          <w:rFonts w:ascii="Cambria" w:hAnsi="Cambria"/>
          <w:b/>
          <w:bCs/>
          <w:sz w:val="26"/>
          <w:szCs w:val="26"/>
        </w:rPr>
      </w:pPr>
    </w:p>
    <w:p w:rsidR="006D05DF" w:rsidP="006D05DF" w14:paraId="4D191DC9" w14:textId="5798800F">
      <w:pPr>
        <w:rPr>
          <w:rFonts w:ascii="Cambria" w:hAnsi="Cambria"/>
          <w:b/>
          <w:bCs/>
          <w:sz w:val="26"/>
          <w:szCs w:val="26"/>
        </w:rPr>
      </w:pPr>
    </w:p>
    <w:p w:rsidR="006D05DF" w:rsidRPr="00450562" w:rsidP="006D05DF" w14:paraId="0CFC013C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450562">
        <w:rPr>
          <w:rFonts w:ascii="Cambria" w:hAnsi="Cambria"/>
          <w:b/>
          <w:bCs/>
          <w:sz w:val="26"/>
          <w:szCs w:val="26"/>
        </w:rPr>
        <w:t>WELLINGTON SOUZA</w:t>
      </w:r>
    </w:p>
    <w:p w:rsidR="006D05DF" w:rsidRPr="00450562" w:rsidP="006D05DF" w14:paraId="3AC82008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Vereador</w:t>
      </w:r>
    </w:p>
    <w:permEnd w:id="0"/>
    <w:p w:rsidR="006D05DF" w:rsidRPr="006D05DF" w:rsidP="006D05DF" w14:paraId="1075A9B3" w14:textId="77777777">
      <w:pPr>
        <w:rPr>
          <w:rFonts w:ascii="Cambria" w:hAnsi="Cambria"/>
          <w:b/>
          <w:bCs/>
          <w:sz w:val="26"/>
          <w:szCs w:val="26"/>
        </w:rPr>
      </w:pPr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110C2"/>
    <w:multiLevelType w:val="multilevel"/>
    <w:tmpl w:val="19BC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94280"/>
    <w:rsid w:val="000A0EA7"/>
    <w:rsid w:val="000B095C"/>
    <w:rsid w:val="000B0FCE"/>
    <w:rsid w:val="000D2BDC"/>
    <w:rsid w:val="000D70FE"/>
    <w:rsid w:val="000D7BEA"/>
    <w:rsid w:val="00104AAA"/>
    <w:rsid w:val="00113175"/>
    <w:rsid w:val="00123A3A"/>
    <w:rsid w:val="00130B46"/>
    <w:rsid w:val="00133801"/>
    <w:rsid w:val="0013434B"/>
    <w:rsid w:val="0014532A"/>
    <w:rsid w:val="0015657E"/>
    <w:rsid w:val="00156CF8"/>
    <w:rsid w:val="001861ED"/>
    <w:rsid w:val="00193E0A"/>
    <w:rsid w:val="001C1717"/>
    <w:rsid w:val="001C7653"/>
    <w:rsid w:val="001F76A5"/>
    <w:rsid w:val="001F7CE8"/>
    <w:rsid w:val="0021182C"/>
    <w:rsid w:val="00224BD1"/>
    <w:rsid w:val="00230ECC"/>
    <w:rsid w:val="002360E2"/>
    <w:rsid w:val="00237796"/>
    <w:rsid w:val="00250A32"/>
    <w:rsid w:val="002511FF"/>
    <w:rsid w:val="00267E30"/>
    <w:rsid w:val="00275E6C"/>
    <w:rsid w:val="0028315E"/>
    <w:rsid w:val="0029349C"/>
    <w:rsid w:val="002C4DEB"/>
    <w:rsid w:val="002E20B7"/>
    <w:rsid w:val="00311F26"/>
    <w:rsid w:val="0033006A"/>
    <w:rsid w:val="00341EFF"/>
    <w:rsid w:val="00352199"/>
    <w:rsid w:val="003746D1"/>
    <w:rsid w:val="003970B5"/>
    <w:rsid w:val="003A6887"/>
    <w:rsid w:val="003B2CC1"/>
    <w:rsid w:val="003C4C0C"/>
    <w:rsid w:val="003C61BB"/>
    <w:rsid w:val="003F4014"/>
    <w:rsid w:val="00435F06"/>
    <w:rsid w:val="00440DAA"/>
    <w:rsid w:val="00450562"/>
    <w:rsid w:val="00455070"/>
    <w:rsid w:val="00460524"/>
    <w:rsid w:val="00460A32"/>
    <w:rsid w:val="004837FB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332F9"/>
    <w:rsid w:val="00541AF4"/>
    <w:rsid w:val="00545991"/>
    <w:rsid w:val="00570C5A"/>
    <w:rsid w:val="00571731"/>
    <w:rsid w:val="00575EEA"/>
    <w:rsid w:val="00586231"/>
    <w:rsid w:val="005B70A9"/>
    <w:rsid w:val="005D288F"/>
    <w:rsid w:val="005F24E9"/>
    <w:rsid w:val="00610410"/>
    <w:rsid w:val="00626437"/>
    <w:rsid w:val="00630EA7"/>
    <w:rsid w:val="00632FA0"/>
    <w:rsid w:val="00644E4A"/>
    <w:rsid w:val="00654977"/>
    <w:rsid w:val="00666771"/>
    <w:rsid w:val="006754E0"/>
    <w:rsid w:val="00676E3C"/>
    <w:rsid w:val="00680A25"/>
    <w:rsid w:val="0068592B"/>
    <w:rsid w:val="006920B3"/>
    <w:rsid w:val="00692874"/>
    <w:rsid w:val="006A45D1"/>
    <w:rsid w:val="006C41A4"/>
    <w:rsid w:val="006D05DF"/>
    <w:rsid w:val="006D09F4"/>
    <w:rsid w:val="006D1E9A"/>
    <w:rsid w:val="006E70DE"/>
    <w:rsid w:val="00701291"/>
    <w:rsid w:val="00712060"/>
    <w:rsid w:val="00713AE8"/>
    <w:rsid w:val="00727CB1"/>
    <w:rsid w:val="0073236B"/>
    <w:rsid w:val="00785201"/>
    <w:rsid w:val="00787C9B"/>
    <w:rsid w:val="00793076"/>
    <w:rsid w:val="007A7984"/>
    <w:rsid w:val="007B2CCE"/>
    <w:rsid w:val="007B625E"/>
    <w:rsid w:val="007B7D99"/>
    <w:rsid w:val="007C6031"/>
    <w:rsid w:val="007D3A31"/>
    <w:rsid w:val="007D5FF0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2676"/>
    <w:rsid w:val="00946FFF"/>
    <w:rsid w:val="009503E5"/>
    <w:rsid w:val="00950A0F"/>
    <w:rsid w:val="00957714"/>
    <w:rsid w:val="0096207A"/>
    <w:rsid w:val="009863E7"/>
    <w:rsid w:val="009C543A"/>
    <w:rsid w:val="009D3C17"/>
    <w:rsid w:val="009F480D"/>
    <w:rsid w:val="00A06CF2"/>
    <w:rsid w:val="00A12449"/>
    <w:rsid w:val="00A4434B"/>
    <w:rsid w:val="00A64CF9"/>
    <w:rsid w:val="00AA2F30"/>
    <w:rsid w:val="00AA4987"/>
    <w:rsid w:val="00AE370C"/>
    <w:rsid w:val="00AE47C9"/>
    <w:rsid w:val="00AF3005"/>
    <w:rsid w:val="00B26633"/>
    <w:rsid w:val="00B368EA"/>
    <w:rsid w:val="00B7028A"/>
    <w:rsid w:val="00B84F7C"/>
    <w:rsid w:val="00B9638D"/>
    <w:rsid w:val="00B96EC9"/>
    <w:rsid w:val="00BA3D0A"/>
    <w:rsid w:val="00BB09DA"/>
    <w:rsid w:val="00BD4CAA"/>
    <w:rsid w:val="00BF1A35"/>
    <w:rsid w:val="00BF226A"/>
    <w:rsid w:val="00C00C1E"/>
    <w:rsid w:val="00C10796"/>
    <w:rsid w:val="00C20C27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159CA"/>
    <w:rsid w:val="00D21B45"/>
    <w:rsid w:val="00D3066E"/>
    <w:rsid w:val="00D57A59"/>
    <w:rsid w:val="00DE0D6C"/>
    <w:rsid w:val="00DE1780"/>
    <w:rsid w:val="00DE2432"/>
    <w:rsid w:val="00DE4344"/>
    <w:rsid w:val="00DE7397"/>
    <w:rsid w:val="00DF40FA"/>
    <w:rsid w:val="00E03C02"/>
    <w:rsid w:val="00E06916"/>
    <w:rsid w:val="00E16B68"/>
    <w:rsid w:val="00E43834"/>
    <w:rsid w:val="00E47EEC"/>
    <w:rsid w:val="00E502E3"/>
    <w:rsid w:val="00E53F1A"/>
    <w:rsid w:val="00E55611"/>
    <w:rsid w:val="00E5764C"/>
    <w:rsid w:val="00E84E14"/>
    <w:rsid w:val="00E86686"/>
    <w:rsid w:val="00E87D17"/>
    <w:rsid w:val="00E95483"/>
    <w:rsid w:val="00EA13CE"/>
    <w:rsid w:val="00EA429B"/>
    <w:rsid w:val="00EA57B0"/>
    <w:rsid w:val="00EE7816"/>
    <w:rsid w:val="00EF3319"/>
    <w:rsid w:val="00EF53D3"/>
    <w:rsid w:val="00F03AE0"/>
    <w:rsid w:val="00F13392"/>
    <w:rsid w:val="00F15F75"/>
    <w:rsid w:val="00F5674F"/>
    <w:rsid w:val="00F85A3D"/>
    <w:rsid w:val="00F85D23"/>
    <w:rsid w:val="00FC6BA9"/>
    <w:rsid w:val="00FD1EA2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05D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05D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80A29-F5B3-4122-AF51-5D8229D3D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1326</Words>
  <Characters>7162</Characters>
  <Application>Microsoft Office Word</Application>
  <DocSecurity>8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2026-07-28T19:34:00Z</cp:lastPrinted>
  <dcterms:created xsi:type="dcterms:W3CDTF">2026-07-28T19:28:00Z</dcterms:created>
  <dcterms:modified xsi:type="dcterms:W3CDTF">2026-07-28T19:44:00Z</dcterms:modified>
</cp:coreProperties>
</file>