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173/2026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redação do Art. 25 da Lei Municipal nº 4.545, de 27 de dezembro de 2007, alterada pela Lei Municipal nº 5.172, de 28 de abril de 2011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