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173/2026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Altera a redação do Art. 25 da Lei Municipal nº 4.545, de 27 de dezembro de 2007, alterada pela Lei Municipal nº 5.172, de 28 de abril de 2011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julho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