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controle da emissão excessiva de ruídos sonoros provenientes de veículos automotores, motocicletas e bicicletas motorizadas no Município de Sumaré, estabelecendo medidas administrativas de fiscalização, proteção do sossego público, à saúde coletiva e ao meio ambiente urbano,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