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172/2026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o controle da emissão excessiva de ruídos sonoros provenientes de veículos automotores, motocicletas e bicicletas motorizadas no Município de Sumaré, estabelecendo medidas administrativas de fiscalização, proteção do sossego público, à saúde coletiva e ao meio ambiente urbano,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julho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