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169/2026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autorização ao executivo municipal para promover a abertura de crédito adicional suplementar no orçamento vigente no valor de R$ 223.592,10 (duzentos e vinte e três mil, quinhentos e noventa e dois reais e dez centavos) para os fins que especifica e dá outras providências.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 de julho de 2026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