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0652" w:rsidRPr="0042148E" w:rsidP="008A0652" w14:paraId="6C3677CE" w14:textId="1151BD2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DE </w:t>
      </w:r>
      <w:r w:rsidR="00DF093A">
        <w:rPr>
          <w:rFonts w:ascii="Arial" w:eastAsia="Times New Roman" w:hAnsi="Arial" w:cs="Arial"/>
          <w:b/>
          <w:bCs/>
          <w:sz w:val="24"/>
          <w:szCs w:val="24"/>
        </w:rPr>
        <w:t>JU</w:t>
      </w:r>
      <w:r w:rsidR="00F83F01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DF093A">
        <w:rPr>
          <w:rFonts w:ascii="Arial" w:eastAsia="Times New Roman" w:hAnsi="Arial" w:cs="Arial"/>
          <w:b/>
          <w:bCs/>
          <w:sz w:val="24"/>
          <w:szCs w:val="24"/>
        </w:rPr>
        <w:t>HO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8A0652" w:rsidRPr="0042148E" w:rsidP="008A0652" w14:paraId="009F1C11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9E4B56" w:rsidRPr="00104886" w:rsidP="009E4B56" w14:paraId="464BD0E6" w14:textId="6B0EF7CA">
      <w:pPr>
        <w:pStyle w:val="BodyTextIndent"/>
        <w:ind w:left="4536" w:firstLine="6"/>
        <w:jc w:val="both"/>
        <w:rPr>
          <w:rFonts w:ascii="Arial" w:hAnsi="Arial" w:cs="Arial"/>
          <w:bCs/>
        </w:rPr>
      </w:pPr>
      <w:r w:rsidRPr="00540C81">
        <w:rPr>
          <w:rFonts w:ascii="Arial" w:hAnsi="Arial" w:cs="Arial"/>
          <w:bCs/>
        </w:rPr>
        <w:t>Dispõe sobre as diretrizes para o credenciamento de Instituições de Longa Permanência para Idosos (ILPIs), autoriza o Poder Executivo a firmar convênios para atendimento de idosos em situação de vulnerabilidade social, e dá outras providências.</w:t>
      </w:r>
    </w:p>
    <w:p w:rsidR="008A0652" w:rsidRPr="0042148E" w:rsidP="008A0652" w14:paraId="4977E297" w14:textId="5F687DE7">
      <w:pPr>
        <w:spacing w:after="120" w:line="240" w:lineRule="auto"/>
        <w:ind w:left="3540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E65EF7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8A0652" w:rsidRPr="0034370C" w:rsidP="008A0652" w14:paraId="173C9A51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E65EF7" w:rsidP="00D65EAD" w14:paraId="5D172DE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E65EF7" w:rsidP="00D65EAD" w14:paraId="5D48A7B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E65EF7" w:rsidP="00D65EAD" w14:paraId="47563B05" w14:textId="45151031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DF093A" w:rsidR="00DF093A">
        <w:rPr>
          <w:rFonts w:ascii="Arial" w:hAnsi="Arial" w:cs="Arial"/>
          <w:szCs w:val="24"/>
        </w:rPr>
        <w:t>Fica o Poder Executivo autorizado a instituir, no âmbito do Município de Sumaré, o Programa Municipal de Credenciamento de Instituições de Longa Permanência para Idosos (ILPIs), com a finalidade de ampliar a rede de acolhimento e atendimento à pessoa idosa em situação de vulnerabilidade social, abandono, risco pessoal ou familiar.</w:t>
      </w:r>
    </w:p>
    <w:p w:rsidR="00DF093A" w:rsidP="00D65EAD" w14:paraId="47B2852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</w:t>
      </w:r>
      <w:r w:rsidRPr="00DF093A">
        <w:rPr>
          <w:rFonts w:ascii="Arial" w:hAnsi="Arial" w:cs="Arial"/>
          <w:szCs w:val="24"/>
        </w:rPr>
        <w:t>Para a execução do programa, o Poder Executivo poderá credenciar instituições privadas, filantrópicas ou sem fins lucrativos para prestação de serviços de acolhimento institucional de idosos encaminhados pelo Município.</w:t>
      </w:r>
    </w:p>
    <w:p w:rsidR="00DF093A" w:rsidRPr="00DF093A" w:rsidP="00D65EAD" w14:paraId="0F959D9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DF093A">
        <w:rPr>
          <w:rFonts w:ascii="Arial" w:hAnsi="Arial" w:cs="Arial"/>
          <w:szCs w:val="24"/>
        </w:rPr>
        <w:t>Para participação no programa, as instituições deverão atender aos seguintes requisitos:</w:t>
      </w:r>
    </w:p>
    <w:p w:rsidR="00DF093A" w:rsidRPr="00DF093A" w:rsidP="00D65EAD" w14:paraId="79CA683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 – Possuir inscrição regular junto ao Conselho Municipal dos Direitos da Pessoa Idosa;</w:t>
      </w:r>
    </w:p>
    <w:p w:rsidR="00DF093A" w:rsidRPr="00DF093A" w:rsidP="00D65EAD" w14:paraId="650DDE9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 – Possuir alvará de funcionamento expedido pelo órgão competente;</w:t>
      </w:r>
    </w:p>
    <w:p w:rsidR="00DF093A" w:rsidRPr="00DF093A" w:rsidP="00D65EAD" w14:paraId="6020955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III – Possuir licença sanitária vigente;</w:t>
      </w:r>
    </w:p>
    <w:p w:rsidR="00DF093A" w:rsidRPr="00DF093A" w:rsidP="00D65EAD" w14:paraId="5D0D8EE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IV – Estar em conformidade com a Resolução RDC nº 502/2021 da ANVISA ou norma que venha a substituí-la;</w:t>
      </w:r>
    </w:p>
    <w:p w:rsidR="00DF093A" w:rsidRPr="00DF093A" w:rsidP="00D65EAD" w14:paraId="6C2F45F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V – Apresentar certidões negativas de débitos fiscais, trabalhistas e previdenciários;</w:t>
      </w:r>
    </w:p>
    <w:p w:rsidR="00DF093A" w:rsidRPr="00DF093A" w:rsidP="00D65EAD" w14:paraId="6C9D35E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VI – Comprovar capacidade técnica e operacional para atendimento dos idosos;</w:t>
      </w:r>
    </w:p>
    <w:p w:rsidR="00DF093A" w:rsidRPr="00DF093A" w:rsidP="00D65EAD" w14:paraId="662AD3A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VII – Possuir equipe multiprofissional compatível com o número de acolhidos;</w:t>
      </w:r>
    </w:p>
    <w:p w:rsidR="00DF093A" w:rsidRPr="00DF093A" w:rsidP="00D65EAD" w14:paraId="1407D3E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VIII – Apresentar plano de atendimento individualizado e relatório periódico dos acolhidos;</w:t>
      </w:r>
    </w:p>
    <w:p w:rsidR="00E65EF7" w:rsidP="00D65EAD" w14:paraId="243B3046" w14:textId="0B589A36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IX – Garantir acessibilidade e condições adequadas de segurança e higiene.</w:t>
      </w:r>
    </w:p>
    <w:p w:rsidR="00DF093A" w:rsidRPr="00DF093A" w:rsidP="00D65EAD" w14:paraId="629844B5" w14:textId="6B67BFEA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4º</w:t>
      </w:r>
      <w:r w:rsidRPr="00DF093A">
        <w:rPr>
          <w:rFonts w:ascii="Arial" w:hAnsi="Arial" w:cs="Arial"/>
          <w:szCs w:val="24"/>
        </w:rPr>
        <w:t xml:space="preserve"> O credenciamento não gera direito automático à contratação, ficando a celebração de convênios, termos de colaboração ou instrumentos congêneres condicionad</w:t>
      </w:r>
      <w:r w:rsidR="008E0EA4">
        <w:rPr>
          <w:rFonts w:ascii="Arial" w:hAnsi="Arial" w:cs="Arial"/>
          <w:szCs w:val="24"/>
        </w:rPr>
        <w:t>os</w:t>
      </w:r>
      <w:r w:rsidRPr="00DF093A">
        <w:rPr>
          <w:rFonts w:ascii="Arial" w:hAnsi="Arial" w:cs="Arial"/>
          <w:szCs w:val="24"/>
        </w:rPr>
        <w:t xml:space="preserve"> à necessidade da Administração Pública e à disponibilidade orçamentária.</w:t>
      </w:r>
    </w:p>
    <w:p w:rsidR="00DF093A" w:rsidRPr="00DF093A" w:rsidP="00D65EAD" w14:paraId="7B3D456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5º</w:t>
      </w:r>
      <w:r w:rsidRPr="00DF093A">
        <w:rPr>
          <w:rFonts w:ascii="Arial" w:hAnsi="Arial" w:cs="Arial"/>
          <w:szCs w:val="24"/>
        </w:rPr>
        <w:t xml:space="preserve"> O Município poderá custear total ou parcialmente as despesas referentes ao acolhimento dos idosos encaminhados pela Secretaria Municipal de Inclusão, Assistência e Desenvolvimento Social ou pelo órgão municipal responsável pela política pública do idoso.</w:t>
      </w:r>
    </w:p>
    <w:p w:rsidR="00DF093A" w:rsidRPr="00DF093A" w:rsidP="00D65EAD" w14:paraId="2173256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6º</w:t>
      </w:r>
      <w:r w:rsidRPr="00DF093A">
        <w:rPr>
          <w:rFonts w:ascii="Arial" w:hAnsi="Arial" w:cs="Arial"/>
          <w:szCs w:val="24"/>
        </w:rPr>
        <w:t xml:space="preserve"> As instituições credenciadas estarão sujeitas à fiscalização permanente do Município, do Conselho Municipal dos Direitos da Pessoa Idosa, da Vigilância Sanitária e dos demais órgãos competentes.</w:t>
      </w:r>
    </w:p>
    <w:p w:rsidR="00DF093A" w:rsidRPr="00DF093A" w:rsidP="00D65EAD" w14:paraId="7DCB7C4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7º</w:t>
      </w:r>
      <w:r w:rsidRPr="00DF093A">
        <w:rPr>
          <w:rFonts w:ascii="Arial" w:hAnsi="Arial" w:cs="Arial"/>
          <w:szCs w:val="24"/>
        </w:rPr>
        <w:t xml:space="preserve"> O descumprimento das normas previstas nesta Lei poderá acarretar:</w:t>
      </w:r>
    </w:p>
    <w:p w:rsidR="00DF093A" w:rsidRPr="00DF093A" w:rsidP="00D65EAD" w14:paraId="026C6B5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 – Advertência;</w:t>
      </w:r>
    </w:p>
    <w:p w:rsidR="00DF093A" w:rsidRPr="00DF093A" w:rsidP="00D65EAD" w14:paraId="145DD81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 – Suspensão temporária do credenciamento;</w:t>
      </w:r>
    </w:p>
    <w:p w:rsidR="00DF093A" w:rsidRPr="00DF093A" w:rsidP="00D65EAD" w14:paraId="6F36F59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III – Descredenciamento;</w:t>
      </w:r>
    </w:p>
    <w:p w:rsidR="00DF093A" w:rsidRPr="00DF093A" w:rsidP="00D65EAD" w14:paraId="2A799F6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IV – Rescisão do convênio ou instrumento firmado.</w:t>
      </w:r>
    </w:p>
    <w:p w:rsidR="00DF093A" w:rsidRPr="00DF093A" w:rsidP="00D65EAD" w14:paraId="5A565DF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8º</w:t>
      </w:r>
      <w:r w:rsidRPr="00DF093A">
        <w:rPr>
          <w:rFonts w:ascii="Arial" w:hAnsi="Arial" w:cs="Arial"/>
          <w:szCs w:val="24"/>
        </w:rPr>
        <w:t xml:space="preserve"> O Poder Executivo regulamentará esta Lei no que couber, definindo:</w:t>
      </w:r>
    </w:p>
    <w:p w:rsidR="00DF093A" w:rsidRPr="00DF093A" w:rsidP="00D65EAD" w14:paraId="3E605B7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 – Critérios complementares de credenciamento;</w:t>
      </w:r>
    </w:p>
    <w:p w:rsidR="00DF093A" w:rsidRPr="00DF093A" w:rsidP="00D65EAD" w14:paraId="11A1088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 – Valor per capita a ser repassado por idoso atendido;</w:t>
      </w:r>
    </w:p>
    <w:p w:rsidR="00DF093A" w:rsidRPr="00DF093A" w:rsidP="00D65EAD" w14:paraId="69D0A39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III – Procedimentos de fiscalização e prestação de contas;</w:t>
      </w:r>
    </w:p>
    <w:p w:rsidR="00DF093A" w:rsidRPr="00DF093A" w:rsidP="00D65EAD" w14:paraId="041FD5E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szCs w:val="24"/>
        </w:rPr>
        <w:t>IV – Critérios de triagem e encaminhamento dos idosos.</w:t>
      </w:r>
    </w:p>
    <w:p w:rsidR="00DF093A" w:rsidRPr="00DF093A" w:rsidP="00D65EAD" w14:paraId="57C34A5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9º</w:t>
      </w:r>
      <w:r w:rsidRPr="00DF093A">
        <w:rPr>
          <w:rFonts w:ascii="Arial" w:hAnsi="Arial" w:cs="Arial"/>
          <w:szCs w:val="24"/>
        </w:rPr>
        <w:t xml:space="preserve"> As despesas decorrentes da execução desta Lei correrão por conta das dotações orçamentárias próprias, suplementadas se necessário.</w:t>
      </w:r>
    </w:p>
    <w:p w:rsidR="00DF093A" w:rsidRPr="0034370C" w:rsidP="00D65EAD" w14:paraId="42AF349C" w14:textId="750081C0">
      <w:pPr>
        <w:spacing w:before="240" w:after="240" w:line="240" w:lineRule="auto"/>
        <w:ind w:firstLine="1418"/>
        <w:jc w:val="both"/>
        <w:rPr>
          <w:rFonts w:ascii="Arial" w:hAnsi="Arial" w:cs="Arial"/>
          <w:szCs w:val="24"/>
        </w:rPr>
      </w:pPr>
      <w:r w:rsidRPr="00DF093A">
        <w:rPr>
          <w:rFonts w:ascii="Arial" w:hAnsi="Arial" w:cs="Arial"/>
          <w:b/>
          <w:bCs/>
          <w:szCs w:val="24"/>
        </w:rPr>
        <w:t>Art. 10</w:t>
      </w:r>
      <w:r w:rsidRPr="00DF093A">
        <w:rPr>
          <w:rFonts w:ascii="Arial" w:hAnsi="Arial" w:cs="Arial"/>
          <w:szCs w:val="24"/>
        </w:rPr>
        <w:t xml:space="preserve"> Esta Lei entra em vigor na data de sua publicação.</w:t>
      </w:r>
    </w:p>
    <w:p w:rsidR="00E65EF7" w:rsidRPr="0034370C" w:rsidP="00E65EF7" w14:paraId="0DB7C4E0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E65EF7" w:rsidP="00E65EF7" w14:paraId="5E0877E0" w14:textId="58626F29">
      <w:pPr>
        <w:pStyle w:val="Ementa"/>
        <w:spacing w:line="360" w:lineRule="auto"/>
        <w:ind w:left="0"/>
        <w:jc w:val="center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 w:rsidR="00F83F01">
        <w:rPr>
          <w:rFonts w:ascii="Arial" w:hAnsi="Arial" w:cs="Arial"/>
          <w:i w:val="0"/>
          <w:szCs w:val="24"/>
          <w:lang w:eastAsia="pt-BR"/>
        </w:rPr>
        <w:t>01</w:t>
      </w:r>
      <w:r>
        <w:rPr>
          <w:rFonts w:ascii="Arial" w:hAnsi="Arial" w:cs="Arial"/>
          <w:i w:val="0"/>
          <w:szCs w:val="24"/>
          <w:lang w:eastAsia="pt-BR"/>
        </w:rPr>
        <w:t xml:space="preserve"> de </w:t>
      </w:r>
      <w:r w:rsidR="00D65EAD">
        <w:rPr>
          <w:rFonts w:ascii="Arial" w:hAnsi="Arial" w:cs="Arial"/>
          <w:i w:val="0"/>
          <w:szCs w:val="24"/>
          <w:lang w:eastAsia="pt-BR"/>
        </w:rPr>
        <w:t>ju</w:t>
      </w:r>
      <w:r w:rsidR="00F83F01">
        <w:rPr>
          <w:rFonts w:ascii="Arial" w:hAnsi="Arial" w:cs="Arial"/>
          <w:i w:val="0"/>
          <w:szCs w:val="24"/>
          <w:lang w:eastAsia="pt-BR"/>
        </w:rPr>
        <w:t>l</w:t>
      </w:r>
      <w:r w:rsidR="00D65EAD">
        <w:rPr>
          <w:rFonts w:ascii="Arial" w:hAnsi="Arial" w:cs="Arial"/>
          <w:i w:val="0"/>
          <w:szCs w:val="24"/>
          <w:lang w:eastAsia="pt-BR"/>
        </w:rPr>
        <w:t>ho</w:t>
      </w:r>
      <w:r>
        <w:rPr>
          <w:rFonts w:ascii="Arial" w:hAnsi="Arial" w:cs="Arial"/>
          <w:i w:val="0"/>
          <w:szCs w:val="24"/>
          <w:lang w:eastAsia="pt-BR"/>
        </w:rPr>
        <w:t xml:space="preserve"> de 2026.</w:t>
      </w:r>
    </w:p>
    <w:p w:rsidR="008A0652" w:rsidRPr="0042148E" w:rsidP="008A0652" w14:paraId="7A28D71D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224011</wp:posOffset>
            </wp:positionV>
            <wp:extent cx="1424763" cy="544995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652" w:rsidRPr="0042148E" w:rsidP="008A0652" w14:paraId="0BD17A2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8A0652" w:rsidRPr="0042148E" w:rsidP="008A0652" w14:paraId="566867BC" w14:textId="1006373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Geraldo Medeiros</w:t>
      </w:r>
    </w:p>
    <w:p w:rsidR="008A0652" w:rsidRPr="0042148E" w:rsidP="008A0652" w14:paraId="7E60819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bookmarkEnd w:id="0"/>
    <w:p w:rsidR="008A0652" w:rsidP="008A0652" w14:paraId="1FB4387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B4575" w:rsidP="007B4575" w14:paraId="330A531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E65EF7" w:rsidRPr="00251FE1" w:rsidP="007B4575" w14:paraId="084AC80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26C3A" w:rsidRPr="00D26C3A" w:rsidP="004024D2" w14:paraId="6DF87EDE" w14:textId="73BFB03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D26C3A">
        <w:rPr>
          <w:rFonts w:ascii="Arial" w:hAnsi="Arial" w:cs="Arial"/>
          <w:bCs/>
          <w:sz w:val="24"/>
          <w:szCs w:val="24"/>
        </w:rPr>
        <w:t>xcelentíssimo Senhor Presidente, Senhores Vereadores e Senhoras Vereadoras da Câmara Municipal de Sumaré, submeto à apreciação desta Casa de Leis o incluso Projeto de Lei, que dispõe sobre as diretrizes para o credenciamento de Instituições de Longa Permanência para Idosos (ILPIs) e autoriza o Poder Executivo a firmar convênios para o atendimento da nossa população idosa em situação de vulnerabilidade social.</w:t>
      </w:r>
    </w:p>
    <w:p w:rsidR="00D26C3A" w:rsidRPr="00D26C3A" w:rsidP="004024D2" w14:paraId="2341780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D26C3A">
        <w:rPr>
          <w:rFonts w:ascii="Arial" w:hAnsi="Arial" w:cs="Arial"/>
          <w:bCs/>
          <w:sz w:val="24"/>
          <w:szCs w:val="24"/>
        </w:rPr>
        <w:t>O envelhecimento populacional é uma realidade global e local que exige respostas céleres do Poder Público. Embora o ambiente familiar seja o espaço prioritário para o cuidado, deparamo-nos frequentemente com idosos que sofrem com o abandono, a ausência de vínculos familiares, a pobreza extrema ou situações de risco pessoal e familiar. Nesses casos mais graves, a institucionalização de longa permanência torna-se uma medida urgente de dignidade humana e sobrevivência. Este projeto visa dar ao Município de Sumaré uma ferramenta ágil para suprir a demanda por vagas em ILPIs, aproveitando a capacidade técnica já instalada de entidades filantrópicas e do terceiro setor por meio de um sistema transparente de credenciamento, sem a necessidade imediata de construção de novas estruturas públicas.</w:t>
      </w:r>
    </w:p>
    <w:p w:rsidR="00D26C3A" w:rsidRPr="00D26C3A" w:rsidP="004024D2" w14:paraId="2C374C1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D26C3A">
        <w:rPr>
          <w:rFonts w:ascii="Arial" w:hAnsi="Arial" w:cs="Arial"/>
          <w:bCs/>
          <w:sz w:val="24"/>
          <w:szCs w:val="24"/>
        </w:rPr>
        <w:t>É fundamental destacar que esta proposta não nasce de forma isolada, mas sim perfeitamente integrada e harmonizada com a rede de proteção integral desenhada por esta Casa de Leis nos últimos anos. O projeto dialoga diretamente com a Lei nº 6.354/2020, que trata do apadrinhamento afetivo, com a Lei nº 6.676/2021, que dispõe sobre o abrigo diurno, e com a Lei nº 6.802/2022, do Bairro Amigo do Idoso. Além disso, a proposta se soma à Lei nº 6.940/2022 de inserção comunitária, à Lei nº 6.971/2022 de prioridade especial aos maiores de 80 anos, e à recente Lei nº 7.534/2025, que instituiu o Selo Amigo da Pessoa Idosa. O credenciamento de ILPIs representa, portanto, a peça que faltava para acolher o idoso cuja alta vulnerabilidade impede temporária ou definitivamente a sua permanência no seio familiar.</w:t>
      </w:r>
    </w:p>
    <w:p w:rsidR="00D26C3A" w:rsidP="004024D2" w14:paraId="19F6D60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D26C3A">
        <w:rPr>
          <w:rFonts w:ascii="Arial" w:hAnsi="Arial" w:cs="Arial"/>
          <w:bCs/>
          <w:sz w:val="24"/>
          <w:szCs w:val="24"/>
        </w:rPr>
        <w:t>Sob o prisma da constitucionalidade e da legalidade, a matéria encontra pleno amparo na Constituição Federal de 1988, que estabelece a competência comum dos municípios para cuidar da assistência pública e define a proteção à velhice como um dos objetivos centrais da assistência social. No âmbito infraconstitucional, o projeto atende rigorosamente às obrigações habitacionais e assistenciais do Estatuto da Pessoa Idosa (Lei Federal nº 10.741/2003) e às exigências sanitárias nacionais atualizadas da Resolução RDC nº 502/2021 da ANVISA. Ademais, o texto utiliza o instituto do credenciamento como procedimento auxiliar de contratação chancelado pela Nova Lei de Licitações (Lei Federal nº 14.133/2021) e respeita as regras do Marco Regulatório das Organizações da Sociedade Civil (Lei Federal nº 13.019/2014).</w:t>
      </w:r>
    </w:p>
    <w:p w:rsidR="001440D4" w:rsidRPr="00D26C3A" w:rsidP="004024D2" w14:paraId="281C6912" w14:textId="6A184721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Uma iniciativa a ser citada como exemplar nessa área é a organização social</w:t>
      </w:r>
      <w:r w:rsidRPr="001440D4">
        <w:rPr>
          <w:rFonts w:ascii="Arial" w:hAnsi="Arial" w:cs="Arial"/>
          <w:bCs/>
          <w:sz w:val="24"/>
          <w:szCs w:val="24"/>
        </w:rPr>
        <w:t xml:space="preserve"> </w:t>
      </w:r>
      <w:r w:rsidRPr="00FF1547">
        <w:rPr>
          <w:rFonts w:ascii="Arial" w:hAnsi="Arial" w:cs="Arial"/>
          <w:b/>
          <w:sz w:val="24"/>
          <w:szCs w:val="24"/>
        </w:rPr>
        <w:t>CALUZ</w:t>
      </w:r>
      <w:r w:rsidRPr="001440D4">
        <w:rPr>
          <w:rFonts w:ascii="Arial" w:hAnsi="Arial" w:cs="Arial"/>
          <w:bCs/>
          <w:sz w:val="24"/>
          <w:szCs w:val="24"/>
        </w:rPr>
        <w:t xml:space="preserve"> — Caminho de Luz, instituição filantrópica já consolidada no município por sua experiência no atendimento a pessoas em situação de rua e idosos em regime de longa </w:t>
      </w:r>
      <w:r w:rsidRPr="001440D4">
        <w:rPr>
          <w:rFonts w:ascii="Arial" w:hAnsi="Arial" w:cs="Arial"/>
          <w:bCs/>
          <w:sz w:val="24"/>
          <w:szCs w:val="24"/>
        </w:rPr>
        <w:t xml:space="preserve">permanência, ilustra como </w:t>
      </w:r>
      <w:r>
        <w:rPr>
          <w:rFonts w:ascii="Arial" w:hAnsi="Arial" w:cs="Arial"/>
          <w:bCs/>
          <w:sz w:val="24"/>
          <w:szCs w:val="24"/>
        </w:rPr>
        <w:t>as parcerias entre o Administração Pública e outras</w:t>
      </w:r>
      <w:r w:rsidRPr="001440D4">
        <w:rPr>
          <w:rFonts w:ascii="Arial" w:hAnsi="Arial" w:cs="Arial"/>
          <w:bCs/>
          <w:sz w:val="24"/>
          <w:szCs w:val="24"/>
        </w:rPr>
        <w:t xml:space="preserve"> instituições com capacidade comprovada pode melhorar e ampliar a oferta de serviços: ao credenciar organizações idôneas e qualificadas, o município amplia a cobertura e a diversidade de atendimentos, fortalece mecanismos de fiscalização e prestação de contas, e promove maior integração entre políticas públicas e ações locais, garantindo continuidade, qualidade e acesso ampliado aos serviços socioassistenciais para os públicos mais vulneráveis.</w:t>
      </w:r>
    </w:p>
    <w:p w:rsidR="007B4575" w:rsidP="004024D2" w14:paraId="27676377" w14:textId="4521376A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D26C3A">
        <w:rPr>
          <w:rFonts w:ascii="Arial" w:hAnsi="Arial" w:cs="Arial"/>
          <w:bCs/>
          <w:sz w:val="24"/>
          <w:szCs w:val="24"/>
        </w:rPr>
        <w:t>Por fim, ciente das prerrogativas e dos limites do Poder Legislativo Municipal, este projeto foi estruturado sob a técnica de norma autorizativa e fixação de diretrizes gerais para garantir sua total viabilidade jurídica. Ao estabelecer que o Poder Executivo fica autorizado a instituir o programa e ressalvar que a celebração dos convênios fica estritamente condicionada à disponibilidade orçamentária da administração, a proposta respeita o princípio da Separação dos Poderes. Não há criação de despesa obrigatória e automática, tampouco imposição de prazos fatais à municipalidade, sanando qualquer hipótese de vício de iniciativa. Ante o exposto, considerando o evidente alcance social e a solidez jurídica da matéria, conclamo os nobres pares para a aprovação deste importante Projeto de Lei.</w:t>
      </w:r>
    </w:p>
    <w:p w:rsidR="00D26C3A" w:rsidRPr="0007485C" w:rsidP="00D26C3A" w14:paraId="10214BFD" w14:textId="77777777">
      <w:pPr>
        <w:rPr>
          <w:rFonts w:ascii="Arial" w:hAnsi="Arial" w:cs="Arial"/>
          <w:bCs/>
          <w:sz w:val="24"/>
          <w:szCs w:val="24"/>
        </w:rPr>
      </w:pPr>
    </w:p>
    <w:p w:rsidR="007B4575" w:rsidP="007B4575" w14:paraId="445F8E3E" w14:textId="77777777">
      <w:pPr>
        <w:rPr>
          <w:rFonts w:ascii="Arial" w:hAnsi="Arial" w:cs="Arial"/>
          <w:bCs/>
          <w:sz w:val="24"/>
          <w:szCs w:val="24"/>
        </w:rPr>
      </w:pPr>
    </w:p>
    <w:p w:rsidR="007B4575" w:rsidRPr="00251FE1" w:rsidP="00E65EF7" w14:paraId="20E0BB57" w14:textId="310DAF5B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 w:rsidR="00F83F01">
        <w:rPr>
          <w:rFonts w:ascii="Arial" w:hAnsi="Arial" w:cs="Arial"/>
          <w:bCs/>
          <w:sz w:val="24"/>
          <w:szCs w:val="24"/>
        </w:rPr>
        <w:t>01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 w:rsidR="008F7A2D">
        <w:rPr>
          <w:rFonts w:ascii="Arial" w:hAnsi="Arial" w:cs="Arial"/>
          <w:bCs/>
          <w:sz w:val="24"/>
          <w:szCs w:val="24"/>
        </w:rPr>
        <w:t>ju</w:t>
      </w:r>
      <w:r w:rsidR="00F83F01">
        <w:rPr>
          <w:rFonts w:ascii="Arial" w:hAnsi="Arial" w:cs="Arial"/>
          <w:bCs/>
          <w:sz w:val="24"/>
          <w:szCs w:val="24"/>
        </w:rPr>
        <w:t>l</w:t>
      </w:r>
      <w:r w:rsidR="008F7A2D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7B4575" w:rsidRPr="0042148E" w:rsidP="007B4575" w14:paraId="687FB1C6" w14:textId="7777777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7B4575" w:rsidRPr="0042148E" w:rsidP="00E65EF7" w14:paraId="05D3E97A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5893131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93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575" w:rsidRPr="0042148E" w:rsidP="007B4575" w14:paraId="6B12CF6B" w14:textId="53258D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Geraldo Medeiros</w:t>
      </w:r>
    </w:p>
    <w:p w:rsidR="007B4575" w:rsidRPr="0042148E" w:rsidP="007B4575" w14:paraId="4BAC2EE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4B53D3" w14:paraId="39CEC711" w14:textId="77777777"/>
    <w:sectPr w:rsidSect="00DF093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14:paraId="6E668C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A0652" w:rsidRPr="006D1E9A" w:rsidP="006D1E9A" w14:paraId="6BB7EA1B" w14:textId="63FB7DA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684155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8A0652" w:rsidRPr="006D1E9A" w:rsidP="006D1E9A" w14:paraId="099CF30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14:paraId="652D67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652" w:rsidRPr="006D1E9A" w:rsidP="006D1E9A" w14:paraId="72917F91" w14:textId="326F234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516207424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42988960" name="Imagem 1642988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52"/>
    <w:rsid w:val="00061CD9"/>
    <w:rsid w:val="0007485C"/>
    <w:rsid w:val="00095F6F"/>
    <w:rsid w:val="00104886"/>
    <w:rsid w:val="00136FC3"/>
    <w:rsid w:val="001440D4"/>
    <w:rsid w:val="00184C76"/>
    <w:rsid w:val="001C32FF"/>
    <w:rsid w:val="001F0D13"/>
    <w:rsid w:val="00251FE1"/>
    <w:rsid w:val="0026512D"/>
    <w:rsid w:val="0034370C"/>
    <w:rsid w:val="003B51F7"/>
    <w:rsid w:val="003E0429"/>
    <w:rsid w:val="004024D2"/>
    <w:rsid w:val="0042148E"/>
    <w:rsid w:val="004B53D3"/>
    <w:rsid w:val="00540C81"/>
    <w:rsid w:val="005A6DF9"/>
    <w:rsid w:val="006D1E9A"/>
    <w:rsid w:val="00730448"/>
    <w:rsid w:val="007B4575"/>
    <w:rsid w:val="007C7737"/>
    <w:rsid w:val="008032D1"/>
    <w:rsid w:val="00891564"/>
    <w:rsid w:val="008A0652"/>
    <w:rsid w:val="008E0EA4"/>
    <w:rsid w:val="008E649A"/>
    <w:rsid w:val="008F7A2D"/>
    <w:rsid w:val="0095163F"/>
    <w:rsid w:val="00981616"/>
    <w:rsid w:val="009B60CE"/>
    <w:rsid w:val="009E4B56"/>
    <w:rsid w:val="00AE14F9"/>
    <w:rsid w:val="00B92CE8"/>
    <w:rsid w:val="00C807EE"/>
    <w:rsid w:val="00C8758C"/>
    <w:rsid w:val="00D14868"/>
    <w:rsid w:val="00D26C3A"/>
    <w:rsid w:val="00D65EAD"/>
    <w:rsid w:val="00D775A0"/>
    <w:rsid w:val="00DC54AC"/>
    <w:rsid w:val="00DE5F6D"/>
    <w:rsid w:val="00DF093A"/>
    <w:rsid w:val="00E65EF7"/>
    <w:rsid w:val="00F44EB1"/>
    <w:rsid w:val="00F83F01"/>
    <w:rsid w:val="00FF15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00EB4F-DA3E-48E8-B44D-0E8FDC68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652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8A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A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A0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A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A0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A0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A0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A0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A0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A0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A0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A0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A06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A065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A06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A06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A06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A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A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A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A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A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A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A0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6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A0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A06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652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8A065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8A0652"/>
    <w:rPr>
      <w:rFonts w:ascii="Times New Roman" w:eastAsia="Times New Roman" w:hAnsi="Times New Roman" w:cs="Times New Roman"/>
      <w:kern w:val="0"/>
      <w:sz w:val="24"/>
      <w:szCs w:val="20"/>
      <w:lang w:eastAsia="pt-BR"/>
    </w:rPr>
  </w:style>
  <w:style w:type="paragraph" w:customStyle="1" w:styleId="Ementa">
    <w:name w:val="Ementa"/>
    <w:basedOn w:val="Normal"/>
    <w:uiPriority w:val="1"/>
    <w:qFormat/>
    <w:rsid w:val="008A0652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1219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15</cp:revision>
  <dcterms:created xsi:type="dcterms:W3CDTF">2026-06-23T19:22:00Z</dcterms:created>
  <dcterms:modified xsi:type="dcterms:W3CDTF">2026-07-01T17:04:00Z</dcterms:modified>
</cp:coreProperties>
</file>