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spacing w:before="120" w:after="240" w:line="360" w:lineRule="auto"/>
        <w:ind w:firstLine="720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</w:t>
      </w:r>
      <w:r w:rsidRPr="00000000">
        <w:rPr>
          <w:rFonts w:ascii="Arial" w:eastAsia="Arial" w:hAnsi="Arial" w:cs="Arial"/>
          <w:sz w:val="24"/>
          <w:szCs w:val="24"/>
          <w:rtl w:val="0"/>
        </w:rPr>
        <w:t>indicação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 xml:space="preserve">manutenção de iluminação pública </w:t>
      </w:r>
      <w:r w:rsidRPr="00000000">
        <w:rPr>
          <w:rFonts w:ascii="Arial" w:eastAsia="Arial" w:hAnsi="Arial" w:cs="Arial"/>
          <w:sz w:val="24"/>
          <w:szCs w:val="24"/>
          <w:rtl w:val="0"/>
        </w:rPr>
        <w:t>no seguinte local: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 xml:space="preserve"> Rua Madre Maria Vilac n° 417, São Judas Tadeu.</w:t>
      </w: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right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 </w:t>
      </w:r>
      <w:r w:rsidRPr="00000000">
        <w:rPr>
          <w:rFonts w:ascii="Arial" w:eastAsia="Arial" w:hAnsi="Arial" w:cs="Arial"/>
          <w:sz w:val="24"/>
          <w:szCs w:val="24"/>
          <w:rtl w:val="0"/>
        </w:rPr>
        <w:t>23 de junho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1070730001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8032772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D22B5B16-D8FC-415A-8202-40B529C18819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AE2E1265-D65F-41DA-A49B-B0B610E2BB26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D034E105-C991-4927-86AD-BE89DD208B7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/>
  <w:p w:rsidR="00000000" w:rsidRPr="00000000" w:rsidP="00000000" w14:paraId="00000012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E">
    <w:r w:rsidRPr="00000000">
      <w:drawing>
        <wp:inline distT="0" distB="0" distL="0" distR="0">
          <wp:extent cx="1526058" cy="534121"/>
          <wp:effectExtent l="0" t="0" r="0" b="0"/>
          <wp:docPr id="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7888173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4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579130109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720247114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70363068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89237437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