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53124" w:rsidRPr="002F4A2B" w:rsidP="0042277A" w14:paraId="24381759" w14:textId="4453879E">
      <w:pPr>
        <w:spacing w:after="0" w:line="360" w:lineRule="auto"/>
        <w:jc w:val="both"/>
        <w:rPr>
          <w:rFonts w:ascii="Bookman Old Style" w:hAnsi="Bookman Old Style" w:cs="Arial"/>
          <w:b/>
          <w:bCs/>
          <w:sz w:val="24"/>
          <w:szCs w:val="24"/>
        </w:rPr>
      </w:pPr>
      <w:r w:rsidRPr="002F4A2B">
        <w:rPr>
          <w:rFonts w:ascii="Bookman Old Style" w:hAnsi="Bookman Old Style" w:cs="Arial"/>
          <w:b/>
          <w:bCs/>
          <w:sz w:val="24"/>
          <w:szCs w:val="24"/>
        </w:rPr>
        <w:t>EXCELENTÍSSIMO SENHOR PRESIDENTE DA CÂMARA MUNICIPAL DE SUMARÉ – ESTADO DE SÃO PAULO.</w:t>
      </w:r>
    </w:p>
    <w:p w:rsidR="00153124" w:rsidRPr="002F4A2B" w:rsidP="0042277A" w14:paraId="16E47DFD" w14:textId="77777777">
      <w:pPr>
        <w:spacing w:after="0" w:line="360" w:lineRule="auto"/>
        <w:rPr>
          <w:rFonts w:ascii="Bookman Old Style" w:hAnsi="Bookman Old Style" w:cs="Arial"/>
          <w:sz w:val="24"/>
          <w:szCs w:val="24"/>
        </w:rPr>
      </w:pPr>
    </w:p>
    <w:p w:rsidR="00153124" w:rsidRPr="002F4A2B" w:rsidP="0042277A" w14:paraId="56C1FF6B" w14:textId="77777777">
      <w:pPr>
        <w:spacing w:after="0" w:line="360" w:lineRule="auto"/>
        <w:jc w:val="right"/>
        <w:rPr>
          <w:rFonts w:ascii="Bookman Old Style" w:hAnsi="Bookman Old Style" w:cs="Arial"/>
          <w:b/>
          <w:bCs/>
          <w:sz w:val="24"/>
          <w:szCs w:val="24"/>
        </w:rPr>
      </w:pPr>
      <w:r w:rsidRPr="002F4A2B">
        <w:rPr>
          <w:rFonts w:ascii="Bookman Old Style" w:hAnsi="Bookman Old Style" w:cs="Arial"/>
          <w:b/>
          <w:bCs/>
          <w:sz w:val="24"/>
          <w:szCs w:val="24"/>
        </w:rPr>
        <w:t>REQUERIMENTO Nº _______/2026</w:t>
      </w:r>
    </w:p>
    <w:p w:rsidR="00153124" w:rsidRPr="002F4A2B" w:rsidP="0042277A" w14:paraId="6B7081A9" w14:textId="77777777">
      <w:pPr>
        <w:spacing w:after="0" w:line="360" w:lineRule="auto"/>
        <w:rPr>
          <w:rFonts w:ascii="Bookman Old Style" w:hAnsi="Bookman Old Style" w:cs="Arial"/>
          <w:sz w:val="24"/>
          <w:szCs w:val="24"/>
        </w:rPr>
      </w:pPr>
    </w:p>
    <w:p w:rsidR="00153124" w:rsidRPr="002F4A2B" w:rsidP="0042277A" w14:paraId="562B2FC6" w14:textId="77777777">
      <w:pPr>
        <w:spacing w:after="0" w:line="360" w:lineRule="auto"/>
        <w:ind w:left="2835"/>
        <w:jc w:val="both"/>
        <w:rPr>
          <w:rFonts w:ascii="Bookman Old Style" w:hAnsi="Bookman Old Style" w:cs="Arial"/>
          <w:i/>
          <w:iCs/>
          <w:sz w:val="24"/>
          <w:szCs w:val="24"/>
        </w:rPr>
      </w:pPr>
      <w:r w:rsidRPr="002F4A2B">
        <w:rPr>
          <w:rFonts w:ascii="Bookman Old Style" w:hAnsi="Bookman Old Style" w:cs="Arial"/>
          <w:b/>
          <w:bCs/>
          <w:i/>
          <w:iCs/>
          <w:sz w:val="24"/>
          <w:szCs w:val="24"/>
        </w:rPr>
        <w:t>REQUERIMENTO DE INSTAURAÇÃO DE COMISSÃO PARLAMENTAR DE INQUÉRITO – CPI,</w:t>
      </w:r>
      <w:r w:rsidRPr="002F4A2B">
        <w:rPr>
          <w:rFonts w:ascii="Bookman Old Style" w:hAnsi="Bookman Old Style" w:cs="Arial"/>
          <w:i/>
          <w:iCs/>
          <w:sz w:val="24"/>
          <w:szCs w:val="24"/>
        </w:rPr>
        <w:t xml:space="preserve"> com a finalidade de apurar graves indícios de irregularidades no processo de dispensa de licitação e na execução do contrato emergencial para o fornecimento de alimentação escolar no Município de Sumaré/SP, no exercício de 2025.</w:t>
      </w:r>
    </w:p>
    <w:p w:rsidR="00153124" w:rsidRPr="002F4A2B" w:rsidP="0042277A" w14:paraId="51D490AD" w14:textId="77777777">
      <w:pPr>
        <w:spacing w:after="0" w:line="360" w:lineRule="auto"/>
        <w:jc w:val="both"/>
        <w:rPr>
          <w:rFonts w:ascii="Bookman Old Style" w:hAnsi="Bookman Old Style" w:cs="Arial"/>
          <w:sz w:val="24"/>
          <w:szCs w:val="24"/>
        </w:rPr>
      </w:pPr>
    </w:p>
    <w:p w:rsidR="00153124" w:rsidRPr="002F4A2B" w:rsidP="0042277A" w14:paraId="62BF1D34" w14:textId="77777777">
      <w:pPr>
        <w:spacing w:after="0" w:line="360" w:lineRule="auto"/>
        <w:jc w:val="both"/>
        <w:rPr>
          <w:rFonts w:ascii="Bookman Old Style" w:hAnsi="Bookman Old Style" w:cs="Arial"/>
          <w:sz w:val="24"/>
          <w:szCs w:val="24"/>
        </w:rPr>
      </w:pPr>
      <w:r w:rsidRPr="002F4A2B">
        <w:rPr>
          <w:rFonts w:ascii="Bookman Old Style" w:hAnsi="Bookman Old Style" w:cs="Arial"/>
          <w:sz w:val="24"/>
          <w:szCs w:val="24"/>
        </w:rPr>
        <w:t xml:space="preserve">O Vereador </w:t>
      </w:r>
      <w:r w:rsidRPr="002F4A2B">
        <w:rPr>
          <w:rFonts w:ascii="Bookman Old Style" w:hAnsi="Bookman Old Style" w:cs="Arial"/>
          <w:b/>
          <w:bCs/>
          <w:sz w:val="24"/>
          <w:szCs w:val="24"/>
        </w:rPr>
        <w:t>RAÍ STEIN SCIASCIO</w:t>
      </w:r>
      <w:r w:rsidRPr="002F4A2B">
        <w:rPr>
          <w:rFonts w:ascii="Bookman Old Style" w:hAnsi="Bookman Old Style" w:cs="Arial"/>
          <w:sz w:val="24"/>
          <w:szCs w:val="24"/>
        </w:rPr>
        <w:t xml:space="preserve">, e os demais Vereadores que </w:t>
      </w:r>
      <w:r w:rsidRPr="002F4A2B">
        <w:rPr>
          <w:rFonts w:ascii="Bookman Old Style" w:hAnsi="Bookman Old Style" w:cs="Arial"/>
          <w:sz w:val="24"/>
          <w:szCs w:val="24"/>
        </w:rPr>
        <w:t>este subscrevem</w:t>
      </w:r>
      <w:r w:rsidRPr="002F4A2B">
        <w:rPr>
          <w:rFonts w:ascii="Bookman Old Style" w:hAnsi="Bookman Old Style" w:cs="Arial"/>
          <w:sz w:val="24"/>
          <w:szCs w:val="24"/>
        </w:rPr>
        <w:t xml:space="preserve">, perfazendo o quórum mínimo de 1/3 (um terço) dos membros desta Casa de Leis, vêm, mui respeitosamente, perante Vossa Excelência, REQUERER a constituição de uma </w:t>
      </w:r>
      <w:r w:rsidRPr="002F4A2B">
        <w:rPr>
          <w:rFonts w:ascii="Bookman Old Style" w:hAnsi="Bookman Old Style" w:cs="Arial"/>
          <w:b/>
          <w:bCs/>
          <w:sz w:val="24"/>
          <w:szCs w:val="24"/>
        </w:rPr>
        <w:t>Comissão Parlamentar de Inquérito (CPI)</w:t>
      </w:r>
      <w:r w:rsidRPr="002F4A2B">
        <w:rPr>
          <w:rFonts w:ascii="Bookman Old Style" w:hAnsi="Bookman Old Style" w:cs="Arial"/>
          <w:sz w:val="24"/>
          <w:szCs w:val="24"/>
        </w:rPr>
        <w:t>, com fulcro no art. 58, § 3º, da Constituição Federal, e nos artigos 120 e 121 do Regimento Interno desta Câmara Municipal (Resolução nº 311/2020), nos termos que se seguem:</w:t>
      </w:r>
    </w:p>
    <w:p w:rsidR="00153124" w:rsidRPr="002F4A2B" w:rsidP="0042277A" w14:paraId="58D0445B" w14:textId="77777777">
      <w:pPr>
        <w:spacing w:after="0" w:line="360" w:lineRule="auto"/>
        <w:jc w:val="both"/>
        <w:rPr>
          <w:rFonts w:ascii="Bookman Old Style" w:hAnsi="Bookman Old Style" w:cs="Arial"/>
          <w:sz w:val="24"/>
          <w:szCs w:val="24"/>
        </w:rPr>
      </w:pPr>
    </w:p>
    <w:p w:rsidR="00153124" w:rsidRPr="002F4A2B" w:rsidP="0042277A" w14:paraId="48DB498C" w14:textId="7F65B7DB">
      <w:pPr>
        <w:pStyle w:val="ListParagraph"/>
        <w:numPr>
          <w:ilvl w:val="0"/>
          <w:numId w:val="5"/>
        </w:numPr>
        <w:spacing w:after="0" w:line="360" w:lineRule="auto"/>
        <w:jc w:val="center"/>
        <w:rPr>
          <w:rFonts w:ascii="Bookman Old Style" w:hAnsi="Bookman Old Style" w:cs="Arial"/>
          <w:b/>
          <w:bCs/>
          <w:sz w:val="24"/>
          <w:szCs w:val="24"/>
        </w:rPr>
      </w:pPr>
      <w:r w:rsidRPr="002F4A2B">
        <w:rPr>
          <w:rFonts w:ascii="Bookman Old Style" w:hAnsi="Bookman Old Style" w:cs="Arial"/>
          <w:b/>
          <w:bCs/>
          <w:sz w:val="24"/>
          <w:szCs w:val="24"/>
        </w:rPr>
        <w:t>DA JUSTIFICATIVA</w:t>
      </w:r>
    </w:p>
    <w:p w:rsidR="003B7C93" w:rsidRPr="002F4A2B" w:rsidP="0042277A" w14:paraId="19E19D8C" w14:textId="77777777">
      <w:pPr>
        <w:pStyle w:val="ListParagraph"/>
        <w:spacing w:after="0" w:line="360" w:lineRule="auto"/>
        <w:ind w:left="1080"/>
        <w:rPr>
          <w:rFonts w:ascii="Bookman Old Style" w:hAnsi="Bookman Old Style" w:cs="Arial"/>
          <w:b/>
          <w:bCs/>
          <w:sz w:val="24"/>
          <w:szCs w:val="24"/>
        </w:rPr>
      </w:pPr>
    </w:p>
    <w:p w:rsidR="00153124" w:rsidRPr="002F4A2B" w:rsidP="0042277A" w14:paraId="1FA16EAE" w14:textId="77777777">
      <w:pPr>
        <w:spacing w:after="0" w:line="360" w:lineRule="auto"/>
        <w:ind w:firstLine="1134"/>
        <w:jc w:val="both"/>
        <w:rPr>
          <w:rFonts w:ascii="Bookman Old Style" w:hAnsi="Bookman Old Style" w:cs="Arial"/>
          <w:sz w:val="24"/>
          <w:szCs w:val="24"/>
        </w:rPr>
      </w:pPr>
      <w:r w:rsidRPr="002F4A2B">
        <w:rPr>
          <w:rFonts w:ascii="Bookman Old Style" w:hAnsi="Bookman Old Style" w:cs="Arial"/>
          <w:sz w:val="24"/>
          <w:szCs w:val="24"/>
        </w:rPr>
        <w:t xml:space="preserve">A gravidade dos fatos objeto da presente investigação ultrapassa os limites de uma eventual falha administrativa ou de mera irregularidade procedimental. </w:t>
      </w:r>
    </w:p>
    <w:p w:rsidR="00E74CD4" w:rsidRPr="002F4A2B" w:rsidP="0042277A" w14:paraId="3E34C179" w14:textId="77777777">
      <w:pPr>
        <w:spacing w:after="0" w:line="360" w:lineRule="auto"/>
        <w:ind w:firstLine="1134"/>
        <w:jc w:val="both"/>
        <w:rPr>
          <w:rFonts w:ascii="Bookman Old Style" w:hAnsi="Bookman Old Style" w:cs="Arial"/>
          <w:sz w:val="24"/>
          <w:szCs w:val="24"/>
        </w:rPr>
      </w:pPr>
    </w:p>
    <w:p w:rsidR="00153124" w:rsidRPr="002F4A2B" w:rsidP="0042277A" w14:paraId="0F1FD57E" w14:textId="77777777">
      <w:pPr>
        <w:spacing w:after="0" w:line="360" w:lineRule="auto"/>
        <w:ind w:firstLine="1134"/>
        <w:jc w:val="both"/>
        <w:rPr>
          <w:rFonts w:ascii="Bookman Old Style" w:hAnsi="Bookman Old Style" w:cs="Arial"/>
          <w:sz w:val="24"/>
          <w:szCs w:val="24"/>
        </w:rPr>
      </w:pPr>
      <w:r w:rsidRPr="002F4A2B">
        <w:rPr>
          <w:rFonts w:ascii="Bookman Old Style" w:hAnsi="Bookman Old Style" w:cs="Arial"/>
          <w:sz w:val="24"/>
          <w:szCs w:val="24"/>
        </w:rPr>
        <w:t xml:space="preserve">Os elementos já tornados públicos apontam para a necessidade de aprofundada apuração acerca da legalidade da revogação do procedimento licitatório originalmente instaurado, da posterior contratação emergencial para </w:t>
      </w:r>
      <w:r w:rsidRPr="002F4A2B">
        <w:rPr>
          <w:rFonts w:ascii="Bookman Old Style" w:hAnsi="Bookman Old Style" w:cs="Arial"/>
          <w:sz w:val="24"/>
          <w:szCs w:val="24"/>
        </w:rPr>
        <w:t>o mesmo objeto e da execução dos respectivos contratos administrativos, diante da existência de indícios que podem revelar afronta aos princípios da legalidade, moralidade, impessoalidade, publicidade e eficiência que regem a Administração Pública.</w:t>
      </w:r>
    </w:p>
    <w:p w:rsidR="00E74CD4" w:rsidRPr="002F4A2B" w:rsidP="0042277A" w14:paraId="56524A65" w14:textId="77777777">
      <w:pPr>
        <w:spacing w:after="0" w:line="360" w:lineRule="auto"/>
        <w:ind w:firstLine="1134"/>
        <w:jc w:val="both"/>
        <w:rPr>
          <w:rFonts w:ascii="Bookman Old Style" w:hAnsi="Bookman Old Style" w:cs="Arial"/>
          <w:sz w:val="24"/>
          <w:szCs w:val="24"/>
        </w:rPr>
      </w:pPr>
    </w:p>
    <w:p w:rsidR="00153124" w:rsidRPr="002F4A2B" w:rsidP="0042277A" w14:paraId="534DF2CD" w14:textId="77777777">
      <w:pPr>
        <w:spacing w:after="0" w:line="360" w:lineRule="auto"/>
        <w:ind w:firstLine="1134"/>
        <w:jc w:val="both"/>
        <w:rPr>
          <w:rFonts w:ascii="Bookman Old Style" w:hAnsi="Bookman Old Style" w:cs="Arial"/>
          <w:sz w:val="24"/>
          <w:szCs w:val="24"/>
        </w:rPr>
      </w:pPr>
      <w:r w:rsidRPr="002F4A2B">
        <w:rPr>
          <w:rFonts w:ascii="Bookman Old Style" w:hAnsi="Bookman Old Style" w:cs="Arial"/>
          <w:sz w:val="24"/>
          <w:szCs w:val="24"/>
        </w:rPr>
        <w:t>As circunstâncias que envolvem a supressão do certame licitatório, a adoção de contratação direta em caráter emergencial e os relatos acerca da qualidade da alimentação fornecida aos alunos da rede municipal de ensino revelam quadro que reclama rigorosa fiscalização por parte do Poder Legislativo, especialmente em razão da relevância social do serviço prestado e da expressiva movimentação de recursos públicos envolvidos.</w:t>
      </w:r>
    </w:p>
    <w:p w:rsidR="00324A52" w:rsidRPr="002F4A2B" w:rsidP="0042277A" w14:paraId="4E502354" w14:textId="77777777">
      <w:pPr>
        <w:spacing w:after="0" w:line="360" w:lineRule="auto"/>
        <w:ind w:firstLine="1134"/>
        <w:jc w:val="both"/>
        <w:rPr>
          <w:rFonts w:ascii="Bookman Old Style" w:hAnsi="Bookman Old Style" w:cs="Arial"/>
          <w:sz w:val="24"/>
          <w:szCs w:val="24"/>
        </w:rPr>
      </w:pPr>
    </w:p>
    <w:p w:rsidR="00153124" w:rsidRPr="002F4A2B" w:rsidP="0042277A" w14:paraId="70688CDE" w14:textId="77777777">
      <w:pPr>
        <w:spacing w:after="0" w:line="360" w:lineRule="auto"/>
        <w:ind w:firstLine="1134"/>
        <w:jc w:val="both"/>
        <w:rPr>
          <w:rFonts w:ascii="Bookman Old Style" w:hAnsi="Bookman Old Style" w:cs="Arial"/>
          <w:sz w:val="24"/>
          <w:szCs w:val="24"/>
        </w:rPr>
      </w:pPr>
      <w:r w:rsidRPr="002F4A2B">
        <w:rPr>
          <w:rFonts w:ascii="Bookman Old Style" w:hAnsi="Bookman Old Style" w:cs="Arial"/>
          <w:sz w:val="24"/>
          <w:szCs w:val="24"/>
        </w:rPr>
        <w:t xml:space="preserve">Somam-se a esse contexto informações que indicam a necessidade de averiguação de eventuais operações patrimoniais e negociais realizadas por pessoas físicas ou jurídicas relacionadas aos contratos sob investigação, inclusive transferências de bens imóveis que, em tese, possam guardar conexão com os fatos apurados. </w:t>
      </w:r>
    </w:p>
    <w:p w:rsidR="002A06E4" w:rsidRPr="002F4A2B" w:rsidP="0042277A" w14:paraId="4627FB18" w14:textId="77777777">
      <w:pPr>
        <w:spacing w:after="0" w:line="360" w:lineRule="auto"/>
        <w:ind w:firstLine="1134"/>
        <w:jc w:val="both"/>
        <w:rPr>
          <w:rFonts w:ascii="Bookman Old Style" w:hAnsi="Bookman Old Style" w:cs="Arial"/>
          <w:sz w:val="24"/>
          <w:szCs w:val="24"/>
        </w:rPr>
      </w:pPr>
    </w:p>
    <w:p w:rsidR="00153124" w:rsidRPr="002F4A2B" w:rsidP="0042277A" w14:paraId="75F11E26" w14:textId="77777777">
      <w:pPr>
        <w:spacing w:after="0" w:line="360" w:lineRule="auto"/>
        <w:ind w:firstLine="1134"/>
        <w:jc w:val="both"/>
        <w:rPr>
          <w:rFonts w:ascii="Bookman Old Style" w:hAnsi="Bookman Old Style" w:cs="Arial"/>
          <w:sz w:val="24"/>
          <w:szCs w:val="24"/>
        </w:rPr>
      </w:pPr>
      <w:r w:rsidRPr="002F4A2B">
        <w:rPr>
          <w:rFonts w:ascii="Bookman Old Style" w:hAnsi="Bookman Old Style" w:cs="Arial"/>
          <w:sz w:val="24"/>
          <w:szCs w:val="24"/>
        </w:rPr>
        <w:t>Embora tais circunstâncias demandem confirmação por meio da atividade investigativa própria desta Comissão, sua relevância recomenda a adoção de todas as medidas necessárias ao completo esclarecimento da destinação dos recursos públicos empregados nas contratações examinadas.</w:t>
      </w:r>
    </w:p>
    <w:p w:rsidR="006E2721" w:rsidRPr="002F4A2B" w:rsidP="0042277A" w14:paraId="321E1668" w14:textId="77777777">
      <w:pPr>
        <w:spacing w:after="0" w:line="360" w:lineRule="auto"/>
        <w:ind w:firstLine="1134"/>
        <w:jc w:val="both"/>
        <w:rPr>
          <w:rFonts w:ascii="Bookman Old Style" w:hAnsi="Bookman Old Style" w:cs="Arial"/>
          <w:sz w:val="24"/>
          <w:szCs w:val="24"/>
        </w:rPr>
      </w:pPr>
    </w:p>
    <w:p w:rsidR="00153124" w:rsidRPr="002F4A2B" w:rsidP="0042277A" w14:paraId="3E1EA199" w14:textId="77777777">
      <w:pPr>
        <w:spacing w:after="0" w:line="360" w:lineRule="auto"/>
        <w:ind w:firstLine="1134"/>
        <w:jc w:val="both"/>
        <w:rPr>
          <w:rFonts w:ascii="Bookman Old Style" w:hAnsi="Bookman Old Style" w:cs="Arial"/>
          <w:sz w:val="24"/>
          <w:szCs w:val="24"/>
        </w:rPr>
      </w:pPr>
      <w:r w:rsidRPr="002F4A2B">
        <w:rPr>
          <w:rFonts w:ascii="Bookman Old Style" w:hAnsi="Bookman Old Style" w:cs="Arial"/>
          <w:sz w:val="24"/>
          <w:szCs w:val="24"/>
        </w:rPr>
        <w:t>Diante desse cenário, a atuação fiscalizatória da Câmara Municipal não constitui mera faculdade política, mas verdadeiro dever institucional decorrente de sua função constitucional de controle externo da Administração Pública, cabendo a esta Casa promover a apuração integral dos fatos, identificar eventuais responsabilidades e assegurar à população de Sumaré a máxima transparência acerca da gestão dos recursos destinados à alimentação escolar.</w:t>
      </w:r>
    </w:p>
    <w:p w:rsidR="00153124" w:rsidRPr="002F4A2B" w:rsidP="0042277A" w14:paraId="48C93252" w14:textId="0178F4A7">
      <w:pPr>
        <w:pStyle w:val="ListParagraph"/>
        <w:numPr>
          <w:ilvl w:val="0"/>
          <w:numId w:val="5"/>
        </w:numPr>
        <w:spacing w:after="0" w:line="360" w:lineRule="auto"/>
        <w:jc w:val="center"/>
        <w:rPr>
          <w:rFonts w:ascii="Bookman Old Style" w:hAnsi="Bookman Old Style" w:cs="Arial"/>
          <w:b/>
          <w:bCs/>
          <w:sz w:val="24"/>
          <w:szCs w:val="24"/>
        </w:rPr>
      </w:pPr>
      <w:r w:rsidRPr="002F4A2B">
        <w:rPr>
          <w:rFonts w:ascii="Bookman Old Style" w:hAnsi="Bookman Old Style" w:cs="Arial"/>
          <w:b/>
          <w:bCs/>
          <w:sz w:val="24"/>
          <w:szCs w:val="24"/>
        </w:rPr>
        <w:t>DOS PRINCÍPIOS CONSTITUCIONAIS E DOS PODERES DE INVESTIGAÇÃO DA COMISSÃO PARLAMENTAR DE INQUÉRITO</w:t>
      </w:r>
    </w:p>
    <w:p w:rsidR="001D0ABF" w:rsidRPr="002F4A2B" w:rsidP="0042277A" w14:paraId="55719549" w14:textId="77777777">
      <w:pPr>
        <w:pStyle w:val="ListParagraph"/>
        <w:spacing w:after="0" w:line="360" w:lineRule="auto"/>
        <w:ind w:left="1080"/>
        <w:rPr>
          <w:rFonts w:ascii="Bookman Old Style" w:hAnsi="Bookman Old Style" w:cs="Arial"/>
          <w:b/>
          <w:bCs/>
          <w:sz w:val="24"/>
          <w:szCs w:val="24"/>
        </w:rPr>
      </w:pPr>
    </w:p>
    <w:p w:rsidR="00153124" w:rsidRPr="002F4A2B" w:rsidP="0042277A" w14:paraId="699C477B" w14:textId="77777777">
      <w:pPr>
        <w:spacing w:after="0" w:line="360" w:lineRule="auto"/>
        <w:ind w:firstLine="1134"/>
        <w:jc w:val="both"/>
        <w:rPr>
          <w:rFonts w:ascii="Bookman Old Style" w:hAnsi="Bookman Old Style" w:cs="Arial"/>
          <w:sz w:val="24"/>
          <w:szCs w:val="24"/>
        </w:rPr>
      </w:pPr>
      <w:r w:rsidRPr="002F4A2B">
        <w:rPr>
          <w:rFonts w:ascii="Bookman Old Style" w:hAnsi="Bookman Old Style" w:cs="Arial"/>
          <w:sz w:val="24"/>
          <w:szCs w:val="24"/>
        </w:rPr>
        <w:t xml:space="preserve">O instituto da Comissão Parlamentar de Inquérito encontra sua gênese no art. 58, § 3º, da Constituição Federal de 1988, que confere ao Poder Legislativo poderes de investigação próprios das autoridades judiciais. Trata-se de um instrumento fundamental do Estado Democrático de Direito para a consecução do controle externo da Administração Pública, garantindo a lisura no trato da coisa pública. </w:t>
      </w:r>
    </w:p>
    <w:p w:rsidR="00153124" w:rsidRPr="002F4A2B" w:rsidP="0042277A" w14:paraId="2B6F35C4" w14:textId="77777777">
      <w:pPr>
        <w:spacing w:after="0" w:line="360" w:lineRule="auto"/>
        <w:ind w:firstLine="1134"/>
        <w:jc w:val="both"/>
        <w:rPr>
          <w:rFonts w:ascii="Bookman Old Style" w:hAnsi="Bookman Old Style" w:cs="Arial"/>
          <w:sz w:val="24"/>
          <w:szCs w:val="24"/>
        </w:rPr>
      </w:pPr>
      <w:r w:rsidRPr="002F4A2B">
        <w:rPr>
          <w:rFonts w:ascii="Bookman Old Style" w:hAnsi="Bookman Old Style" w:cs="Arial"/>
          <w:sz w:val="24"/>
          <w:szCs w:val="24"/>
        </w:rPr>
        <w:t xml:space="preserve">O escopo de uma CPI é a apuração de um fato determinado, que deve ser objetivo, claro e preciso, não podendo incidir em rota de colisão com outros dispositivos constitucionais. Ao Legislativo pertencem os poderes investigatórios e os meios instrumentais destinados a torná-los efetivos, sendo a CPI competente para investigar a administração direta e indireta. </w:t>
      </w:r>
    </w:p>
    <w:p w:rsidR="001D0ABF" w:rsidRPr="002F4A2B" w:rsidP="0042277A" w14:paraId="48FC090D" w14:textId="77777777">
      <w:pPr>
        <w:spacing w:after="0" w:line="360" w:lineRule="auto"/>
        <w:ind w:firstLine="1134"/>
        <w:jc w:val="both"/>
        <w:rPr>
          <w:rFonts w:ascii="Bookman Old Style" w:hAnsi="Bookman Old Style" w:cs="Arial"/>
          <w:sz w:val="24"/>
          <w:szCs w:val="24"/>
        </w:rPr>
      </w:pPr>
    </w:p>
    <w:p w:rsidR="00153124" w:rsidRPr="002F4A2B" w:rsidP="0042277A" w14:paraId="646E723F" w14:textId="77777777">
      <w:pPr>
        <w:spacing w:after="0" w:line="360" w:lineRule="auto"/>
        <w:ind w:firstLine="1134"/>
        <w:jc w:val="both"/>
        <w:rPr>
          <w:rFonts w:ascii="Bookman Old Style" w:hAnsi="Bookman Old Style" w:cs="Arial"/>
          <w:sz w:val="24"/>
          <w:szCs w:val="24"/>
        </w:rPr>
      </w:pPr>
      <w:r w:rsidRPr="002F4A2B">
        <w:rPr>
          <w:rFonts w:ascii="Bookman Old Style" w:hAnsi="Bookman Old Style" w:cs="Arial"/>
          <w:sz w:val="24"/>
          <w:szCs w:val="24"/>
        </w:rPr>
        <w:t xml:space="preserve">As investigações pautam-se pela estrita observância do artigo 37 da Carta Magna, cujo caput consagra os princípios norteadores da Administração Pública: </w:t>
      </w:r>
    </w:p>
    <w:p w:rsidR="00C0684C" w:rsidRPr="002F4A2B" w:rsidP="0042277A" w14:paraId="4A6E83D7" w14:textId="77777777">
      <w:pPr>
        <w:spacing w:after="0" w:line="360" w:lineRule="auto"/>
        <w:ind w:firstLine="1134"/>
        <w:jc w:val="both"/>
        <w:rPr>
          <w:rFonts w:ascii="Bookman Old Style" w:hAnsi="Bookman Old Style" w:cs="Arial"/>
          <w:sz w:val="24"/>
          <w:szCs w:val="24"/>
        </w:rPr>
      </w:pPr>
    </w:p>
    <w:p w:rsidR="00153124" w:rsidRPr="002F4A2B" w:rsidP="0042277A" w14:paraId="7C21D71D" w14:textId="77777777">
      <w:pPr>
        <w:pStyle w:val="ListParagraph"/>
        <w:numPr>
          <w:ilvl w:val="0"/>
          <w:numId w:val="1"/>
        </w:numPr>
        <w:spacing w:after="0" w:line="360" w:lineRule="auto"/>
        <w:jc w:val="both"/>
        <w:rPr>
          <w:rFonts w:ascii="Bookman Old Style" w:hAnsi="Bookman Old Style" w:cs="Arial"/>
          <w:sz w:val="24"/>
          <w:szCs w:val="24"/>
        </w:rPr>
      </w:pPr>
      <w:r w:rsidRPr="002F4A2B">
        <w:rPr>
          <w:rFonts w:ascii="Bookman Old Style" w:hAnsi="Bookman Old Style" w:cs="Arial"/>
          <w:b/>
          <w:bCs/>
          <w:sz w:val="24"/>
          <w:szCs w:val="24"/>
        </w:rPr>
        <w:t>Princípio da Legalidade:</w:t>
      </w:r>
      <w:r w:rsidRPr="002F4A2B">
        <w:rPr>
          <w:rFonts w:ascii="Bookman Old Style" w:hAnsi="Bookman Old Style" w:cs="Arial"/>
          <w:sz w:val="24"/>
          <w:szCs w:val="24"/>
        </w:rPr>
        <w:t xml:space="preserve"> O administrador público está estritamente vinculado à lei, só podendo fazer aquilo que lhe é expressamente permitido. A dispensa imotivada de certames licitatórios fere de morte este princípio. </w:t>
      </w:r>
    </w:p>
    <w:p w:rsidR="00153124" w:rsidRPr="002F4A2B" w:rsidP="0042277A" w14:paraId="394679E2" w14:textId="77777777">
      <w:pPr>
        <w:pStyle w:val="ListParagraph"/>
        <w:numPr>
          <w:ilvl w:val="0"/>
          <w:numId w:val="1"/>
        </w:numPr>
        <w:spacing w:after="0" w:line="360" w:lineRule="auto"/>
        <w:jc w:val="both"/>
        <w:rPr>
          <w:rFonts w:ascii="Bookman Old Style" w:hAnsi="Bookman Old Style" w:cs="Arial"/>
          <w:sz w:val="24"/>
          <w:szCs w:val="24"/>
        </w:rPr>
      </w:pPr>
      <w:r w:rsidRPr="002F4A2B">
        <w:rPr>
          <w:rFonts w:ascii="Bookman Old Style" w:hAnsi="Bookman Old Style" w:cs="Arial"/>
          <w:b/>
          <w:bCs/>
          <w:sz w:val="24"/>
          <w:szCs w:val="24"/>
        </w:rPr>
        <w:t>Princípio da Moralidade:</w:t>
      </w:r>
      <w:r w:rsidRPr="002F4A2B">
        <w:rPr>
          <w:rFonts w:ascii="Bookman Old Style" w:hAnsi="Bookman Old Style" w:cs="Arial"/>
          <w:sz w:val="24"/>
          <w:szCs w:val="24"/>
        </w:rPr>
        <w:t xml:space="preserve"> Exige do gestor público atuação pautada na ética, honestidade e probidade, não se limitando apenas à distinção entre o lícito e o ilícito, mas focando no bem comum. </w:t>
      </w:r>
    </w:p>
    <w:p w:rsidR="00153124" w:rsidRPr="002F4A2B" w:rsidP="0042277A" w14:paraId="5FBEA0CD" w14:textId="77777777">
      <w:pPr>
        <w:pStyle w:val="ListParagraph"/>
        <w:numPr>
          <w:ilvl w:val="0"/>
          <w:numId w:val="1"/>
        </w:numPr>
        <w:spacing w:after="0" w:line="360" w:lineRule="auto"/>
        <w:jc w:val="both"/>
        <w:rPr>
          <w:rFonts w:ascii="Bookman Old Style" w:hAnsi="Bookman Old Style" w:cs="Arial"/>
          <w:sz w:val="24"/>
          <w:szCs w:val="24"/>
        </w:rPr>
      </w:pPr>
      <w:r w:rsidRPr="002F4A2B">
        <w:rPr>
          <w:rFonts w:ascii="Bookman Old Style" w:hAnsi="Bookman Old Style" w:cs="Arial"/>
          <w:b/>
          <w:bCs/>
          <w:sz w:val="24"/>
          <w:szCs w:val="24"/>
        </w:rPr>
        <w:t>Princípio da Impessoalidade:</w:t>
      </w:r>
      <w:r w:rsidRPr="002F4A2B">
        <w:rPr>
          <w:rFonts w:ascii="Bookman Old Style" w:hAnsi="Bookman Old Style" w:cs="Arial"/>
          <w:sz w:val="24"/>
          <w:szCs w:val="24"/>
        </w:rPr>
        <w:t xml:space="preserve"> A conduta administrativa deve ser direcionada ao interesse público, sendo nulo o ato que visa favorecimento ou privilégio de pessoas ou empresas específicas. </w:t>
      </w:r>
    </w:p>
    <w:p w:rsidR="00153124" w:rsidRPr="002F4A2B" w:rsidP="0042277A" w14:paraId="2F2BC02D" w14:textId="77777777">
      <w:pPr>
        <w:pStyle w:val="ListParagraph"/>
        <w:numPr>
          <w:ilvl w:val="0"/>
          <w:numId w:val="1"/>
        </w:numPr>
        <w:spacing w:after="0" w:line="360" w:lineRule="auto"/>
        <w:jc w:val="both"/>
        <w:rPr>
          <w:rFonts w:ascii="Bookman Old Style" w:hAnsi="Bookman Old Style" w:cs="Arial"/>
          <w:sz w:val="24"/>
          <w:szCs w:val="24"/>
        </w:rPr>
      </w:pPr>
      <w:r w:rsidRPr="002F4A2B">
        <w:rPr>
          <w:rFonts w:ascii="Bookman Old Style" w:hAnsi="Bookman Old Style" w:cs="Arial"/>
          <w:b/>
          <w:bCs/>
          <w:sz w:val="24"/>
          <w:szCs w:val="24"/>
        </w:rPr>
        <w:t>Princípio da Publicidade:</w:t>
      </w:r>
      <w:r w:rsidRPr="002F4A2B">
        <w:rPr>
          <w:rFonts w:ascii="Bookman Old Style" w:hAnsi="Bookman Old Style" w:cs="Arial"/>
          <w:sz w:val="24"/>
          <w:szCs w:val="24"/>
        </w:rPr>
        <w:t xml:space="preserve"> A transparência é a regra, sendo o sigilo a exceção, o que contribui diretamente para a fiscalização e controle social dos atos administrativos. </w:t>
      </w:r>
    </w:p>
    <w:p w:rsidR="00153124" w:rsidRPr="002F4A2B" w:rsidP="0042277A" w14:paraId="3C7840CF" w14:textId="77777777">
      <w:pPr>
        <w:pStyle w:val="ListParagraph"/>
        <w:numPr>
          <w:ilvl w:val="0"/>
          <w:numId w:val="1"/>
        </w:numPr>
        <w:spacing w:after="0" w:line="360" w:lineRule="auto"/>
        <w:jc w:val="both"/>
        <w:rPr>
          <w:rFonts w:ascii="Bookman Old Style" w:hAnsi="Bookman Old Style" w:cs="Arial"/>
          <w:sz w:val="24"/>
          <w:szCs w:val="24"/>
        </w:rPr>
      </w:pPr>
      <w:r w:rsidRPr="002F4A2B">
        <w:rPr>
          <w:rFonts w:ascii="Bookman Old Style" w:hAnsi="Bookman Old Style" w:cs="Arial"/>
          <w:b/>
          <w:bCs/>
          <w:sz w:val="24"/>
          <w:szCs w:val="24"/>
        </w:rPr>
        <w:t>Princípio da Eficiência:</w:t>
      </w:r>
      <w:r w:rsidRPr="002F4A2B">
        <w:rPr>
          <w:rFonts w:ascii="Bookman Old Style" w:hAnsi="Bookman Old Style" w:cs="Arial"/>
          <w:sz w:val="24"/>
          <w:szCs w:val="24"/>
        </w:rPr>
        <w:t xml:space="preserve"> Impõe ao administrador o dever de buscar os melhores resultados para a sociedade com o menor custo, garantindo uma prestação de serviços adequada e eficaz. </w:t>
      </w:r>
    </w:p>
    <w:p w:rsidR="00153124" w:rsidRPr="002F4A2B" w:rsidP="0042277A" w14:paraId="6C5B2375" w14:textId="77777777">
      <w:pPr>
        <w:spacing w:after="0" w:line="360" w:lineRule="auto"/>
        <w:ind w:firstLine="1134"/>
        <w:jc w:val="both"/>
        <w:rPr>
          <w:rFonts w:ascii="Bookman Old Style" w:hAnsi="Bookman Old Style" w:cs="Arial"/>
          <w:sz w:val="24"/>
          <w:szCs w:val="24"/>
        </w:rPr>
      </w:pPr>
    </w:p>
    <w:p w:rsidR="00153124" w:rsidRPr="002F4A2B" w:rsidP="0042277A" w14:paraId="7F6C2CAC" w14:textId="77777777">
      <w:pPr>
        <w:spacing w:after="0" w:line="360" w:lineRule="auto"/>
        <w:ind w:firstLine="1134"/>
        <w:jc w:val="both"/>
        <w:rPr>
          <w:rFonts w:ascii="Bookman Old Style" w:hAnsi="Bookman Old Style" w:cs="Arial"/>
          <w:sz w:val="24"/>
          <w:szCs w:val="24"/>
        </w:rPr>
      </w:pPr>
      <w:r w:rsidRPr="002F4A2B">
        <w:rPr>
          <w:rFonts w:ascii="Bookman Old Style" w:hAnsi="Bookman Old Style" w:cs="Arial"/>
          <w:sz w:val="24"/>
          <w:szCs w:val="24"/>
        </w:rPr>
        <w:t xml:space="preserve">É precisamente à luz desses princípios constitucionais que os fatos ora submetidos à apreciação desta Casa Legislativa devem ser examinados. Os elementos já conhecidos revelam circunstâncias que, pela sua relevância jurídica, administrativa e social, reclamam apuração aprofundada e independente, sobretudo porque envolvem a aplicação de expressivos recursos públicos e a prestação de serviço essencial destinado à alimentação dos alunos da rede municipal de ensino. </w:t>
      </w:r>
    </w:p>
    <w:p w:rsidR="00B7537E" w:rsidRPr="002F4A2B" w:rsidP="0042277A" w14:paraId="6757DD8E" w14:textId="77777777">
      <w:pPr>
        <w:spacing w:after="0" w:line="360" w:lineRule="auto"/>
        <w:ind w:firstLine="1134"/>
        <w:jc w:val="both"/>
        <w:rPr>
          <w:rFonts w:ascii="Bookman Old Style" w:hAnsi="Bookman Old Style" w:cs="Arial"/>
          <w:sz w:val="24"/>
          <w:szCs w:val="24"/>
        </w:rPr>
      </w:pPr>
    </w:p>
    <w:p w:rsidR="00153124" w:rsidRPr="002F4A2B" w:rsidP="0042277A" w14:paraId="73FAB559" w14:textId="77777777">
      <w:pPr>
        <w:spacing w:after="0" w:line="360" w:lineRule="auto"/>
        <w:ind w:firstLine="1134"/>
        <w:jc w:val="both"/>
        <w:rPr>
          <w:rFonts w:ascii="Bookman Old Style" w:hAnsi="Bookman Old Style" w:cs="Arial"/>
          <w:sz w:val="24"/>
          <w:szCs w:val="24"/>
        </w:rPr>
      </w:pPr>
      <w:r w:rsidRPr="002F4A2B">
        <w:rPr>
          <w:rFonts w:ascii="Bookman Old Style" w:hAnsi="Bookman Old Style" w:cs="Arial"/>
          <w:sz w:val="24"/>
          <w:szCs w:val="24"/>
        </w:rPr>
        <w:t>A constituição da presente Comissão Parlamentar de Inquérito surge, portanto, como medida necessária para o completo esclarecimento dos acontecimentos, permitindo a reconstrução dos fatos, a verificação da regularidade dos atos administrativos praticados e a plena elucidação de eventuais responsabilidades.</w:t>
      </w:r>
    </w:p>
    <w:p w:rsidR="00153124" w:rsidRPr="002F4A2B" w:rsidP="0042277A" w14:paraId="740C02B4" w14:textId="77777777">
      <w:pPr>
        <w:spacing w:after="0" w:line="360" w:lineRule="auto"/>
        <w:ind w:firstLine="1134"/>
        <w:jc w:val="both"/>
        <w:rPr>
          <w:rFonts w:ascii="Bookman Old Style" w:hAnsi="Bookman Old Style" w:cs="Arial"/>
          <w:sz w:val="24"/>
          <w:szCs w:val="24"/>
        </w:rPr>
      </w:pPr>
    </w:p>
    <w:p w:rsidR="00153124" w:rsidRPr="002F4A2B" w:rsidP="0042277A" w14:paraId="0BD09879" w14:textId="0CD52BD7">
      <w:pPr>
        <w:pStyle w:val="ListParagraph"/>
        <w:numPr>
          <w:ilvl w:val="0"/>
          <w:numId w:val="5"/>
        </w:numPr>
        <w:spacing w:after="0" w:line="360" w:lineRule="auto"/>
        <w:jc w:val="center"/>
        <w:rPr>
          <w:rFonts w:ascii="Bookman Old Style" w:hAnsi="Bookman Old Style" w:cs="Arial"/>
          <w:b/>
          <w:bCs/>
          <w:sz w:val="24"/>
          <w:szCs w:val="24"/>
        </w:rPr>
      </w:pPr>
      <w:r w:rsidRPr="002F4A2B">
        <w:rPr>
          <w:rFonts w:ascii="Bookman Old Style" w:hAnsi="Bookman Old Style" w:cs="Arial"/>
          <w:b/>
          <w:bCs/>
          <w:sz w:val="24"/>
          <w:szCs w:val="24"/>
        </w:rPr>
        <w:t xml:space="preserve">DOS FATOS DETERMINADOS </w:t>
      </w:r>
    </w:p>
    <w:p w:rsidR="001F0EA4" w:rsidRPr="002F4A2B" w:rsidP="0042277A" w14:paraId="1FB8BA70" w14:textId="77777777">
      <w:pPr>
        <w:pStyle w:val="ListParagraph"/>
        <w:spacing w:after="0" w:line="360" w:lineRule="auto"/>
        <w:ind w:left="1080"/>
        <w:rPr>
          <w:rFonts w:ascii="Bookman Old Style" w:hAnsi="Bookman Old Style" w:cs="Arial"/>
          <w:b/>
          <w:bCs/>
          <w:sz w:val="24"/>
          <w:szCs w:val="24"/>
        </w:rPr>
      </w:pPr>
    </w:p>
    <w:p w:rsidR="00153124" w:rsidRPr="002F4A2B" w:rsidP="0042277A" w14:paraId="5C760EC8" w14:textId="77777777">
      <w:pPr>
        <w:spacing w:after="0" w:line="360" w:lineRule="auto"/>
        <w:ind w:firstLine="1134"/>
        <w:jc w:val="both"/>
        <w:rPr>
          <w:rFonts w:ascii="Bookman Old Style" w:hAnsi="Bookman Old Style" w:cs="Arial"/>
          <w:sz w:val="24"/>
          <w:szCs w:val="24"/>
        </w:rPr>
      </w:pPr>
      <w:r w:rsidRPr="002F4A2B">
        <w:rPr>
          <w:rFonts w:ascii="Bookman Old Style" w:hAnsi="Bookman Old Style" w:cs="Arial"/>
          <w:sz w:val="24"/>
          <w:szCs w:val="24"/>
        </w:rPr>
        <w:t>Nos termos do artigo 58, § 3º, da Constituição Federal, bem como do artigo 120, § 1º, do Regimento Interno da Câmara Municipal de Sumaré, a presente Comissão Parlamentar de Inquérito destina-se à apuração dos seguintes fatos determinados relacionados à contratação e à execução dos serviços de alimentação escolar no Município de Sumaré durante o exercício de 2025:</w:t>
      </w:r>
    </w:p>
    <w:p w:rsidR="00153124" w:rsidRPr="002F4A2B" w:rsidP="0042277A" w14:paraId="3821EAAB" w14:textId="77777777">
      <w:pPr>
        <w:spacing w:after="0" w:line="360" w:lineRule="auto"/>
        <w:jc w:val="both"/>
        <w:rPr>
          <w:rFonts w:ascii="Bookman Old Style" w:hAnsi="Bookman Old Style" w:cs="Arial"/>
          <w:sz w:val="24"/>
          <w:szCs w:val="24"/>
        </w:rPr>
      </w:pPr>
    </w:p>
    <w:p w:rsidR="00153124" w:rsidRPr="002F4A2B" w:rsidP="0042277A" w14:paraId="08347E10" w14:textId="77777777">
      <w:pPr>
        <w:pStyle w:val="ListParagraph"/>
        <w:numPr>
          <w:ilvl w:val="0"/>
          <w:numId w:val="2"/>
        </w:numPr>
        <w:spacing w:after="0" w:line="360" w:lineRule="auto"/>
        <w:jc w:val="both"/>
        <w:rPr>
          <w:rFonts w:ascii="Bookman Old Style" w:hAnsi="Bookman Old Style" w:cs="Arial"/>
          <w:b/>
          <w:bCs/>
          <w:sz w:val="24"/>
          <w:szCs w:val="24"/>
        </w:rPr>
      </w:pPr>
      <w:r w:rsidRPr="002F4A2B">
        <w:rPr>
          <w:rFonts w:ascii="Bookman Old Style" w:hAnsi="Bookman Old Style" w:cs="Arial"/>
          <w:b/>
          <w:bCs/>
          <w:sz w:val="24"/>
          <w:szCs w:val="24"/>
        </w:rPr>
        <w:t xml:space="preserve">REVOGAÇÃO DO PREGÃO ELETRÔNICO Nº 19/2024: </w:t>
      </w:r>
      <w:r w:rsidRPr="002F4A2B">
        <w:rPr>
          <w:rFonts w:ascii="Bookman Old Style" w:hAnsi="Bookman Old Style" w:cs="Arial"/>
          <w:sz w:val="24"/>
          <w:szCs w:val="24"/>
        </w:rPr>
        <w:t>Apurar as circunstâncias que culminaram na revogação do Pregão Eletrônico nº 19/2024 (Processo nº 021/2024), destinado à contratação de empresa especializada para o fornecimento de alimentação escolar, especialmente quanto à suficiência dos fundamentos invocados pela Administração Pública, à regularidade do procedimento adotado e à conformidade do ato com a legislação vigente.</w:t>
      </w:r>
    </w:p>
    <w:p w:rsidR="00153124" w:rsidRPr="002F4A2B" w:rsidP="0042277A" w14:paraId="60D4DA6B" w14:textId="77777777">
      <w:pPr>
        <w:spacing w:after="0" w:line="360" w:lineRule="auto"/>
        <w:ind w:left="720" w:hanging="294"/>
        <w:jc w:val="both"/>
        <w:rPr>
          <w:rFonts w:ascii="Bookman Old Style" w:hAnsi="Bookman Old Style" w:cs="Arial"/>
          <w:b/>
          <w:bCs/>
          <w:sz w:val="24"/>
          <w:szCs w:val="24"/>
        </w:rPr>
      </w:pPr>
    </w:p>
    <w:p w:rsidR="00153124" w:rsidRPr="002F4A2B" w:rsidP="0042277A" w14:paraId="60CC13F6" w14:textId="77777777">
      <w:pPr>
        <w:pStyle w:val="ListParagraph"/>
        <w:numPr>
          <w:ilvl w:val="0"/>
          <w:numId w:val="2"/>
        </w:numPr>
        <w:spacing w:after="0" w:line="360" w:lineRule="auto"/>
        <w:jc w:val="both"/>
        <w:rPr>
          <w:rFonts w:ascii="Bookman Old Style" w:hAnsi="Bookman Old Style" w:cs="Arial"/>
          <w:sz w:val="24"/>
          <w:szCs w:val="24"/>
        </w:rPr>
      </w:pPr>
      <w:r w:rsidRPr="002F4A2B">
        <w:rPr>
          <w:rFonts w:ascii="Bookman Old Style" w:hAnsi="Bookman Old Style" w:cs="Arial"/>
          <w:b/>
          <w:bCs/>
          <w:sz w:val="24"/>
          <w:szCs w:val="24"/>
        </w:rPr>
        <w:t xml:space="preserve">CARACTERIZAÇÃO DA SITUAÇÃO EMERGENCIAL E DISPENSA DE LICITAÇÃO: </w:t>
      </w:r>
      <w:r w:rsidRPr="002F4A2B">
        <w:rPr>
          <w:rFonts w:ascii="Bookman Old Style" w:hAnsi="Bookman Old Style" w:cs="Arial"/>
          <w:sz w:val="24"/>
          <w:szCs w:val="24"/>
        </w:rPr>
        <w:t>Apurar a legalidade da contratação emergencial promovida após a revogação do certame licitatório, verificando a efetiva existência da situação emergencial alegada, a observância dos requisitos legais para a contratação direta e a compatibilidade das medidas adotadas com os princípios que regem a Administração Pública.</w:t>
      </w:r>
    </w:p>
    <w:p w:rsidR="00153124" w:rsidRPr="002F4A2B" w:rsidP="0042277A" w14:paraId="10269D16" w14:textId="77777777">
      <w:pPr>
        <w:spacing w:after="0" w:line="360" w:lineRule="auto"/>
        <w:ind w:left="720" w:hanging="294"/>
        <w:jc w:val="both"/>
        <w:rPr>
          <w:rFonts w:ascii="Bookman Old Style" w:hAnsi="Bookman Old Style" w:cs="Arial"/>
          <w:b/>
          <w:bCs/>
          <w:sz w:val="24"/>
          <w:szCs w:val="24"/>
        </w:rPr>
      </w:pPr>
    </w:p>
    <w:p w:rsidR="00153124" w:rsidRPr="002F4A2B" w:rsidP="0042277A" w14:paraId="34650ADE" w14:textId="77777777">
      <w:pPr>
        <w:pStyle w:val="ListParagraph"/>
        <w:numPr>
          <w:ilvl w:val="0"/>
          <w:numId w:val="2"/>
        </w:numPr>
        <w:spacing w:after="0" w:line="360" w:lineRule="auto"/>
        <w:jc w:val="both"/>
        <w:rPr>
          <w:rFonts w:ascii="Bookman Old Style" w:hAnsi="Bookman Old Style" w:cs="Arial"/>
          <w:b/>
          <w:bCs/>
          <w:sz w:val="24"/>
          <w:szCs w:val="24"/>
        </w:rPr>
      </w:pPr>
      <w:r w:rsidRPr="002F4A2B">
        <w:rPr>
          <w:rFonts w:ascii="Bookman Old Style" w:hAnsi="Bookman Old Style" w:cs="Arial"/>
          <w:b/>
          <w:bCs/>
          <w:sz w:val="24"/>
          <w:szCs w:val="24"/>
        </w:rPr>
        <w:t xml:space="preserve">SELEÇÃO DAS EMPRESAS BENEFICIADAS PELAS CONTRATAÇÕES EMERGENCIAIS: </w:t>
      </w:r>
      <w:r w:rsidRPr="002F4A2B">
        <w:rPr>
          <w:rFonts w:ascii="Bookman Old Style" w:hAnsi="Bookman Old Style" w:cs="Arial"/>
          <w:sz w:val="24"/>
          <w:szCs w:val="24"/>
        </w:rPr>
        <w:t xml:space="preserve">Apurar os critérios utilizados para a escolha da empresa </w:t>
      </w:r>
      <w:r w:rsidRPr="002F4A2B">
        <w:rPr>
          <w:rFonts w:ascii="Bookman Old Style" w:hAnsi="Bookman Old Style" w:cs="Arial"/>
          <w:sz w:val="24"/>
          <w:szCs w:val="24"/>
        </w:rPr>
        <w:t>Omega</w:t>
      </w:r>
      <w:r w:rsidRPr="002F4A2B">
        <w:rPr>
          <w:rFonts w:ascii="Bookman Old Style" w:hAnsi="Bookman Old Style" w:cs="Arial"/>
          <w:sz w:val="24"/>
          <w:szCs w:val="24"/>
        </w:rPr>
        <w:t xml:space="preserve"> Alimentação e Serviços Especializados S/A (CNPJ 58.981.366/0036-07), ligada ao Grupo </w:t>
      </w:r>
      <w:r w:rsidRPr="002F4A2B">
        <w:rPr>
          <w:rFonts w:ascii="Bookman Old Style" w:hAnsi="Bookman Old Style" w:cs="Arial"/>
          <w:sz w:val="24"/>
          <w:szCs w:val="24"/>
        </w:rPr>
        <w:t>Nutriplus</w:t>
      </w:r>
      <w:r w:rsidRPr="002F4A2B">
        <w:rPr>
          <w:rFonts w:ascii="Bookman Old Style" w:hAnsi="Bookman Old Style" w:cs="Arial"/>
          <w:sz w:val="24"/>
          <w:szCs w:val="24"/>
        </w:rPr>
        <w:t>, outrora investigado em esquemas de fraude em merenda escolar, além de ser alvo de denúncias públicas no próprio município por atrasos salariais a seus funcionários. Bem como, a regularidade dos procedimentos que culminaram em sua contratação e a eventual ocorrência de favorecimento indevido, direcionamento contratual ou restrição à competitividade.</w:t>
      </w:r>
    </w:p>
    <w:p w:rsidR="00153124" w:rsidRPr="002F4A2B" w:rsidP="0042277A" w14:paraId="235EB121" w14:textId="77777777">
      <w:pPr>
        <w:spacing w:after="0" w:line="360" w:lineRule="auto"/>
        <w:ind w:left="720" w:hanging="294"/>
        <w:jc w:val="both"/>
        <w:rPr>
          <w:rFonts w:ascii="Bookman Old Style" w:hAnsi="Bookman Old Style" w:cs="Arial"/>
          <w:b/>
          <w:bCs/>
          <w:sz w:val="24"/>
          <w:szCs w:val="24"/>
        </w:rPr>
      </w:pPr>
    </w:p>
    <w:p w:rsidR="00153124" w:rsidRPr="002F4A2B" w:rsidP="0042277A" w14:paraId="02BE0799" w14:textId="77777777">
      <w:pPr>
        <w:pStyle w:val="ListParagraph"/>
        <w:numPr>
          <w:ilvl w:val="0"/>
          <w:numId w:val="2"/>
        </w:numPr>
        <w:spacing w:after="0" w:line="360" w:lineRule="auto"/>
        <w:jc w:val="both"/>
        <w:rPr>
          <w:rFonts w:ascii="Bookman Old Style" w:hAnsi="Bookman Old Style" w:cs="Arial"/>
          <w:b/>
          <w:bCs/>
          <w:sz w:val="24"/>
          <w:szCs w:val="24"/>
        </w:rPr>
      </w:pPr>
      <w:r w:rsidRPr="002F4A2B">
        <w:rPr>
          <w:rFonts w:ascii="Bookman Old Style" w:hAnsi="Bookman Old Style" w:cs="Arial"/>
          <w:b/>
          <w:bCs/>
          <w:sz w:val="24"/>
          <w:szCs w:val="24"/>
        </w:rPr>
        <w:t xml:space="preserve">REGULARIDADE ECONÔMICA E FINANCEIRA DOS CONTRATOS CELEBRADOS: </w:t>
      </w:r>
      <w:r w:rsidRPr="002F4A2B">
        <w:rPr>
          <w:rFonts w:ascii="Bookman Old Style" w:hAnsi="Bookman Old Style" w:cs="Arial"/>
          <w:sz w:val="24"/>
          <w:szCs w:val="24"/>
        </w:rPr>
        <w:t>Apurar a compatibilidade dos valores contratados com os preços praticados no mercado, a adequação das condições pactuadas e a eventual ocorrência de sobrepreço, superfaturamento, desperdício de recursos públicos ou prejuízo ao erário municipal.</w:t>
      </w:r>
    </w:p>
    <w:p w:rsidR="00153124" w:rsidRPr="002F4A2B" w:rsidP="0042277A" w14:paraId="6C536C79" w14:textId="77777777">
      <w:pPr>
        <w:pStyle w:val="ListParagraph"/>
        <w:numPr>
          <w:ilvl w:val="0"/>
          <w:numId w:val="2"/>
        </w:numPr>
        <w:spacing w:after="0" w:line="360" w:lineRule="auto"/>
        <w:jc w:val="both"/>
        <w:rPr>
          <w:rFonts w:ascii="Bookman Old Style" w:hAnsi="Bookman Old Style" w:cs="Arial"/>
          <w:b/>
          <w:bCs/>
          <w:sz w:val="24"/>
          <w:szCs w:val="24"/>
        </w:rPr>
      </w:pPr>
      <w:r w:rsidRPr="002F4A2B">
        <w:rPr>
          <w:rFonts w:ascii="Bookman Old Style" w:hAnsi="Bookman Old Style" w:cs="Arial"/>
          <w:b/>
          <w:bCs/>
          <w:sz w:val="24"/>
          <w:szCs w:val="24"/>
        </w:rPr>
        <w:t xml:space="preserve">EXECUÇÃO DOS CONTRATOS DE FORNECIMENTO DE ALIMENTAÇÃO ESCOLAR: </w:t>
      </w:r>
      <w:r w:rsidRPr="002F4A2B">
        <w:rPr>
          <w:rFonts w:ascii="Bookman Old Style" w:hAnsi="Bookman Old Style" w:cs="Arial"/>
          <w:sz w:val="24"/>
          <w:szCs w:val="24"/>
        </w:rPr>
        <w:t>Apurar o efetivo cumprimento das obrigações assumidas pelas empresas contratadas, inclusive quanto à qualidade dos serviços prestados, à regularidade do fornecimento, ao atendimento das exigências contratuais e à observância das normas aplicáveis ao programa de alimentação escolar.</w:t>
      </w:r>
    </w:p>
    <w:p w:rsidR="00153124" w:rsidRPr="002F4A2B" w:rsidP="0042277A" w14:paraId="5775601B" w14:textId="77777777">
      <w:pPr>
        <w:spacing w:after="0" w:line="360" w:lineRule="auto"/>
        <w:ind w:left="720" w:hanging="294"/>
        <w:jc w:val="both"/>
        <w:rPr>
          <w:rFonts w:ascii="Bookman Old Style" w:hAnsi="Bookman Old Style" w:cs="Arial"/>
          <w:b/>
          <w:bCs/>
          <w:sz w:val="24"/>
          <w:szCs w:val="24"/>
        </w:rPr>
      </w:pPr>
    </w:p>
    <w:p w:rsidR="00153124" w:rsidRPr="002F4A2B" w:rsidP="0042277A" w14:paraId="4CF4D947" w14:textId="77777777">
      <w:pPr>
        <w:pStyle w:val="ListParagraph"/>
        <w:numPr>
          <w:ilvl w:val="0"/>
          <w:numId w:val="2"/>
        </w:numPr>
        <w:spacing w:after="0" w:line="360" w:lineRule="auto"/>
        <w:jc w:val="both"/>
        <w:rPr>
          <w:rFonts w:ascii="Bookman Old Style" w:hAnsi="Bookman Old Style" w:cs="Arial"/>
          <w:b/>
          <w:bCs/>
          <w:sz w:val="24"/>
          <w:szCs w:val="24"/>
        </w:rPr>
      </w:pPr>
      <w:r w:rsidRPr="002F4A2B">
        <w:rPr>
          <w:rFonts w:ascii="Bookman Old Style" w:hAnsi="Bookman Old Style" w:cs="Arial"/>
          <w:b/>
          <w:bCs/>
          <w:sz w:val="24"/>
          <w:szCs w:val="24"/>
        </w:rPr>
        <w:t xml:space="preserve">QUALIDADE, SEGURANÇA E ADEQUAÇÃO NUTRICIONAL DA MERENDA ESCOLAR: </w:t>
      </w:r>
      <w:r w:rsidRPr="002F4A2B">
        <w:rPr>
          <w:rFonts w:ascii="Bookman Old Style" w:hAnsi="Bookman Old Style" w:cs="Arial"/>
          <w:sz w:val="24"/>
          <w:szCs w:val="24"/>
        </w:rPr>
        <w:t>Apurar as condições efetivamente verificadas no fornecimento das refeições destinadas aos alunos da rede municipal de ensino, sua conformidade com as exigências nutricionais, sanitárias e técnicas pertinentes, bem como a eventual ocorrência de prejuízos à saúde, ao bem-estar e à segurança alimentar dos estudantes.</w:t>
      </w:r>
    </w:p>
    <w:p w:rsidR="00153124" w:rsidRPr="002F4A2B" w:rsidP="0042277A" w14:paraId="68406117" w14:textId="77777777">
      <w:pPr>
        <w:spacing w:after="0" w:line="360" w:lineRule="auto"/>
        <w:ind w:left="720" w:hanging="294"/>
        <w:jc w:val="both"/>
        <w:rPr>
          <w:rFonts w:ascii="Bookman Old Style" w:hAnsi="Bookman Old Style" w:cs="Arial"/>
          <w:b/>
          <w:bCs/>
          <w:sz w:val="24"/>
          <w:szCs w:val="24"/>
        </w:rPr>
      </w:pPr>
    </w:p>
    <w:p w:rsidR="00153124" w:rsidRPr="002F4A2B" w:rsidP="0042277A" w14:paraId="08D9A991" w14:textId="77777777">
      <w:pPr>
        <w:pStyle w:val="ListParagraph"/>
        <w:numPr>
          <w:ilvl w:val="0"/>
          <w:numId w:val="2"/>
        </w:numPr>
        <w:spacing w:after="0" w:line="360" w:lineRule="auto"/>
        <w:jc w:val="both"/>
        <w:rPr>
          <w:rFonts w:ascii="Bookman Old Style" w:hAnsi="Bookman Old Style" w:cs="Arial"/>
          <w:b/>
          <w:bCs/>
          <w:sz w:val="24"/>
          <w:szCs w:val="24"/>
        </w:rPr>
      </w:pPr>
      <w:r w:rsidRPr="002F4A2B">
        <w:rPr>
          <w:rFonts w:ascii="Bookman Old Style" w:hAnsi="Bookman Old Style" w:cs="Arial"/>
          <w:b/>
          <w:bCs/>
          <w:sz w:val="24"/>
          <w:szCs w:val="24"/>
        </w:rPr>
        <w:t xml:space="preserve">VÍNCULOS EMPRESARIAIS, SOCIETÁRIOS E FINANCEIROS RELACIONADOS ÀS CONTRATAÇÕES INVESTIGADAS: </w:t>
      </w:r>
      <w:r w:rsidRPr="002F4A2B">
        <w:rPr>
          <w:rFonts w:ascii="Bookman Old Style" w:hAnsi="Bookman Old Style" w:cs="Arial"/>
          <w:sz w:val="24"/>
          <w:szCs w:val="24"/>
        </w:rPr>
        <w:t>Apurar a existência de vínculos societários, econômicos ou negociais entre agentes públicos que participaram da revogação do Pregão Eletrônico nº 19/2024 ou da contratação emergencial subsequente e as empresas contratadas, verificando eventual influência indevida sobre os atos administrativos investigados.</w:t>
      </w:r>
    </w:p>
    <w:p w:rsidR="00153124" w:rsidRPr="002F4A2B" w:rsidP="0042277A" w14:paraId="214ADCF8" w14:textId="77777777">
      <w:pPr>
        <w:spacing w:after="0" w:line="360" w:lineRule="auto"/>
        <w:ind w:left="720" w:hanging="294"/>
        <w:jc w:val="both"/>
        <w:rPr>
          <w:rFonts w:ascii="Bookman Old Style" w:hAnsi="Bookman Old Style" w:cs="Arial"/>
          <w:b/>
          <w:bCs/>
          <w:sz w:val="24"/>
          <w:szCs w:val="24"/>
        </w:rPr>
      </w:pPr>
    </w:p>
    <w:p w:rsidR="00153124" w:rsidRPr="002F4A2B" w:rsidP="0042277A" w14:paraId="500BDFE6" w14:textId="77777777">
      <w:pPr>
        <w:pStyle w:val="ListParagraph"/>
        <w:numPr>
          <w:ilvl w:val="0"/>
          <w:numId w:val="2"/>
        </w:numPr>
        <w:spacing w:after="0" w:line="360" w:lineRule="auto"/>
        <w:jc w:val="both"/>
        <w:rPr>
          <w:rFonts w:ascii="Bookman Old Style" w:hAnsi="Bookman Old Style" w:cs="Arial"/>
          <w:b/>
          <w:bCs/>
          <w:sz w:val="24"/>
          <w:szCs w:val="24"/>
        </w:rPr>
      </w:pPr>
      <w:r w:rsidRPr="002F4A2B">
        <w:rPr>
          <w:rFonts w:ascii="Bookman Old Style" w:hAnsi="Bookman Old Style" w:cs="Arial"/>
          <w:b/>
          <w:bCs/>
          <w:sz w:val="24"/>
          <w:szCs w:val="24"/>
        </w:rPr>
        <w:t xml:space="preserve">MOVIMENTAÇÕES PATRIMONIAIS E TRANSFERÊNCIAS DE BENS RELACIONADAS AOS CONTRATOS SOB INVESTIGAÇÃO: </w:t>
      </w:r>
      <w:r w:rsidRPr="002F4A2B">
        <w:rPr>
          <w:rFonts w:ascii="Bookman Old Style" w:hAnsi="Bookman Old Style" w:cs="Arial"/>
          <w:sz w:val="24"/>
          <w:szCs w:val="24"/>
        </w:rPr>
        <w:t>Apurar as circunstâncias envolvendo as transferências imobiliárias relacionadas aos 40 terrenos mencionados em denúncias públicas vinculadas aos fatos investigados, verificando eventual conexão entre tais negócios jurídicos e as contratações emergenciais de alimentação escolar realizadas pelo Município no exercício de 2025.</w:t>
      </w:r>
    </w:p>
    <w:p w:rsidR="007B2204" w:rsidRPr="002F4A2B" w:rsidP="0042277A" w14:paraId="045C6B51" w14:textId="77777777">
      <w:pPr>
        <w:spacing w:after="0" w:line="360" w:lineRule="auto"/>
        <w:jc w:val="both"/>
        <w:rPr>
          <w:rFonts w:ascii="Bookman Old Style" w:hAnsi="Bookman Old Style" w:cs="Arial"/>
          <w:b/>
          <w:bCs/>
          <w:sz w:val="24"/>
          <w:szCs w:val="24"/>
        </w:rPr>
      </w:pPr>
    </w:p>
    <w:p w:rsidR="00153124" w:rsidRPr="002F4A2B" w:rsidP="0042277A" w14:paraId="7299512B" w14:textId="77777777">
      <w:pPr>
        <w:spacing w:after="0" w:line="360" w:lineRule="auto"/>
        <w:ind w:firstLine="1134"/>
        <w:jc w:val="both"/>
        <w:rPr>
          <w:rFonts w:ascii="Bookman Old Style" w:hAnsi="Bookman Old Style" w:cs="Arial"/>
          <w:sz w:val="24"/>
          <w:szCs w:val="24"/>
        </w:rPr>
      </w:pPr>
      <w:r w:rsidRPr="002F4A2B">
        <w:rPr>
          <w:rFonts w:ascii="Bookman Old Style" w:hAnsi="Bookman Old Style" w:cs="Arial"/>
          <w:sz w:val="24"/>
          <w:szCs w:val="24"/>
        </w:rPr>
        <w:t xml:space="preserve">Ao término das investigações, a Comissão identificará as responsabilidades administrativas, civis e eventualmente penais decorrentes dos fatos apurados. </w:t>
      </w:r>
    </w:p>
    <w:p w:rsidR="005F741A" w:rsidRPr="002F4A2B" w:rsidP="0042277A" w14:paraId="3758D0CC" w14:textId="77777777">
      <w:pPr>
        <w:spacing w:after="0" w:line="360" w:lineRule="auto"/>
        <w:ind w:firstLine="1134"/>
        <w:jc w:val="both"/>
        <w:rPr>
          <w:rFonts w:ascii="Bookman Old Style" w:hAnsi="Bookman Old Style" w:cs="Arial"/>
          <w:sz w:val="24"/>
          <w:szCs w:val="24"/>
        </w:rPr>
      </w:pPr>
    </w:p>
    <w:p w:rsidR="00153124" w:rsidRPr="002F4A2B" w:rsidP="0042277A" w14:paraId="7ECBDDEC" w14:textId="77777777">
      <w:pPr>
        <w:spacing w:after="0" w:line="360" w:lineRule="auto"/>
        <w:ind w:firstLine="1134"/>
        <w:jc w:val="both"/>
        <w:rPr>
          <w:rFonts w:ascii="Bookman Old Style" w:hAnsi="Bookman Old Style" w:cs="Arial"/>
          <w:sz w:val="24"/>
          <w:szCs w:val="24"/>
        </w:rPr>
      </w:pPr>
      <w:r w:rsidRPr="002F4A2B">
        <w:rPr>
          <w:rFonts w:ascii="Bookman Old Style" w:hAnsi="Bookman Old Style" w:cs="Arial"/>
          <w:sz w:val="24"/>
          <w:szCs w:val="24"/>
        </w:rPr>
        <w:t>Os fatos acima encontram-se delimitados aos atos administrativos relacionados à revogação do Pregão Eletrônico nº 19/2024, às contratações emergenciais dele decorrentes e à execução dos respectivos contratos de fornecimento de alimentação escolar no Município de Sumaré, constituindo conjunto de fatos certos, individualizados e passíveis de apuração pelo Poder Legislativo Municipal.</w:t>
      </w:r>
    </w:p>
    <w:p w:rsidR="00153124" w:rsidRPr="002F4A2B" w:rsidP="0042277A" w14:paraId="6E0D97F3" w14:textId="77777777">
      <w:pPr>
        <w:spacing w:after="0" w:line="360" w:lineRule="auto"/>
        <w:ind w:firstLine="1134"/>
        <w:jc w:val="both"/>
        <w:rPr>
          <w:rFonts w:ascii="Bookman Old Style" w:hAnsi="Bookman Old Style" w:cs="Arial"/>
          <w:sz w:val="24"/>
          <w:szCs w:val="24"/>
        </w:rPr>
      </w:pPr>
    </w:p>
    <w:p w:rsidR="00153124" w:rsidRPr="002F4A2B" w:rsidP="0042277A" w14:paraId="1A8B30CD" w14:textId="02EDCEF2">
      <w:pPr>
        <w:pStyle w:val="ListParagraph"/>
        <w:numPr>
          <w:ilvl w:val="0"/>
          <w:numId w:val="5"/>
        </w:numPr>
        <w:spacing w:after="0" w:line="360" w:lineRule="auto"/>
        <w:jc w:val="center"/>
        <w:rPr>
          <w:rFonts w:ascii="Bookman Old Style" w:hAnsi="Bookman Old Style" w:cs="Arial"/>
          <w:b/>
          <w:bCs/>
          <w:sz w:val="24"/>
          <w:szCs w:val="24"/>
        </w:rPr>
      </w:pPr>
      <w:r w:rsidRPr="002F4A2B">
        <w:rPr>
          <w:rFonts w:ascii="Bookman Old Style" w:hAnsi="Bookman Old Style" w:cs="Arial"/>
          <w:b/>
          <w:bCs/>
          <w:sz w:val="24"/>
          <w:szCs w:val="24"/>
        </w:rPr>
        <w:t>DA COMPOSIÇÃO E PRAZO DE DURAÇÃO</w:t>
      </w:r>
    </w:p>
    <w:p w:rsidR="002E3670" w:rsidRPr="002F4A2B" w:rsidP="0042277A" w14:paraId="2E54B699" w14:textId="77777777">
      <w:pPr>
        <w:pStyle w:val="ListParagraph"/>
        <w:spacing w:after="0" w:line="360" w:lineRule="auto"/>
        <w:ind w:left="993" w:firstLine="87"/>
        <w:rPr>
          <w:rFonts w:ascii="Bookman Old Style" w:hAnsi="Bookman Old Style" w:cs="Arial"/>
          <w:b/>
          <w:bCs/>
          <w:sz w:val="24"/>
          <w:szCs w:val="24"/>
        </w:rPr>
      </w:pPr>
    </w:p>
    <w:p w:rsidR="00153124" w:rsidRPr="002F4A2B" w:rsidP="0042277A" w14:paraId="68DBF51F" w14:textId="77777777">
      <w:pPr>
        <w:pStyle w:val="ListParagraph"/>
        <w:numPr>
          <w:ilvl w:val="0"/>
          <w:numId w:val="3"/>
        </w:numPr>
        <w:spacing w:after="0" w:line="360" w:lineRule="auto"/>
        <w:jc w:val="both"/>
        <w:rPr>
          <w:rFonts w:ascii="Bookman Old Style" w:hAnsi="Bookman Old Style" w:cs="Arial"/>
          <w:sz w:val="24"/>
          <w:szCs w:val="24"/>
        </w:rPr>
      </w:pPr>
      <w:r w:rsidRPr="002F4A2B">
        <w:rPr>
          <w:rFonts w:ascii="Bookman Old Style" w:hAnsi="Bookman Old Style" w:cs="Arial"/>
          <w:b/>
          <w:bCs/>
          <w:sz w:val="24"/>
          <w:szCs w:val="24"/>
        </w:rPr>
        <w:t>Número de Membros:</w:t>
      </w:r>
      <w:r w:rsidRPr="002F4A2B">
        <w:rPr>
          <w:rFonts w:ascii="Bookman Old Style" w:hAnsi="Bookman Old Style" w:cs="Arial"/>
          <w:sz w:val="24"/>
          <w:szCs w:val="24"/>
        </w:rPr>
        <w:t xml:space="preserve"> Requer-se a composição por </w:t>
      </w:r>
      <w:r w:rsidRPr="002F4A2B">
        <w:rPr>
          <w:rFonts w:ascii="Bookman Old Style" w:hAnsi="Bookman Old Style" w:cs="Arial"/>
          <w:b/>
          <w:bCs/>
          <w:sz w:val="24"/>
          <w:szCs w:val="24"/>
        </w:rPr>
        <w:t>5 (cinco) membros</w:t>
      </w:r>
      <w:r w:rsidRPr="002F4A2B">
        <w:rPr>
          <w:rFonts w:ascii="Bookman Old Style" w:hAnsi="Bookman Old Style" w:cs="Arial"/>
          <w:sz w:val="24"/>
          <w:szCs w:val="24"/>
        </w:rPr>
        <w:t xml:space="preserve"> indicados pela Presidência, respeitando-se a representação proporcional partidária ou dos blocos parlamentares (Art. 121, § 3º do RI), sendo a presidência exercida pelo primeiro signatário (Art. 121, § 4º do RI).</w:t>
      </w:r>
    </w:p>
    <w:p w:rsidR="00153124" w:rsidRPr="002F4A2B" w:rsidP="0042277A" w14:paraId="59579F7F" w14:textId="77777777">
      <w:pPr>
        <w:pStyle w:val="ListParagraph"/>
        <w:spacing w:after="0" w:line="360" w:lineRule="auto"/>
        <w:jc w:val="both"/>
        <w:rPr>
          <w:rFonts w:ascii="Bookman Old Style" w:hAnsi="Bookman Old Style" w:cs="Arial"/>
          <w:sz w:val="24"/>
          <w:szCs w:val="24"/>
        </w:rPr>
      </w:pPr>
    </w:p>
    <w:p w:rsidR="00153124" w:rsidRPr="002F4A2B" w:rsidP="0042277A" w14:paraId="118EA0EF" w14:textId="77777777">
      <w:pPr>
        <w:pStyle w:val="ListParagraph"/>
        <w:numPr>
          <w:ilvl w:val="0"/>
          <w:numId w:val="3"/>
        </w:numPr>
        <w:spacing w:after="0" w:line="360" w:lineRule="auto"/>
        <w:jc w:val="both"/>
        <w:rPr>
          <w:rFonts w:ascii="Bookman Old Style" w:hAnsi="Bookman Old Style" w:cs="Arial"/>
          <w:sz w:val="24"/>
          <w:szCs w:val="24"/>
        </w:rPr>
      </w:pPr>
      <w:r w:rsidRPr="002F4A2B">
        <w:rPr>
          <w:rFonts w:ascii="Bookman Old Style" w:hAnsi="Bookman Old Style" w:cs="Arial"/>
          <w:b/>
          <w:bCs/>
          <w:sz w:val="24"/>
          <w:szCs w:val="24"/>
        </w:rPr>
        <w:t>Prazo de Funcionamento:</w:t>
      </w:r>
      <w:r w:rsidRPr="002F4A2B">
        <w:rPr>
          <w:rFonts w:ascii="Bookman Old Style" w:hAnsi="Bookman Old Style" w:cs="Arial"/>
          <w:sz w:val="24"/>
          <w:szCs w:val="24"/>
        </w:rPr>
        <w:t xml:space="preserve"> Fica estipulado o prazo regimental máximo de </w:t>
      </w:r>
      <w:r w:rsidRPr="002F4A2B">
        <w:rPr>
          <w:rFonts w:ascii="Bookman Old Style" w:hAnsi="Bookman Old Style" w:cs="Arial"/>
          <w:b/>
          <w:bCs/>
          <w:sz w:val="24"/>
          <w:szCs w:val="24"/>
        </w:rPr>
        <w:t>150 (cento e cinquenta) dias</w:t>
      </w:r>
      <w:r w:rsidRPr="002F4A2B">
        <w:rPr>
          <w:rFonts w:ascii="Bookman Old Style" w:hAnsi="Bookman Old Style" w:cs="Arial"/>
          <w:sz w:val="24"/>
          <w:szCs w:val="24"/>
        </w:rPr>
        <w:t xml:space="preserve"> para a conclusão das investigações, admitida prorrogação por igual período (Art. 121, § 2º, III do RI).</w:t>
      </w:r>
    </w:p>
    <w:p w:rsidR="00153124" w:rsidRPr="002F4A2B" w:rsidP="0042277A" w14:paraId="27C0A37A" w14:textId="77777777">
      <w:pPr>
        <w:spacing w:after="0" w:line="360" w:lineRule="auto"/>
        <w:ind w:left="720"/>
        <w:jc w:val="both"/>
        <w:rPr>
          <w:rFonts w:ascii="Bookman Old Style" w:hAnsi="Bookman Old Style" w:cs="Arial"/>
          <w:sz w:val="24"/>
          <w:szCs w:val="24"/>
        </w:rPr>
      </w:pPr>
    </w:p>
    <w:p w:rsidR="00153124" w:rsidRPr="002F4A2B" w:rsidP="0042277A" w14:paraId="244C5112" w14:textId="00D4C886">
      <w:pPr>
        <w:pStyle w:val="ListParagraph"/>
        <w:numPr>
          <w:ilvl w:val="0"/>
          <w:numId w:val="5"/>
        </w:numPr>
        <w:spacing w:after="0" w:line="360" w:lineRule="auto"/>
        <w:jc w:val="center"/>
        <w:rPr>
          <w:rFonts w:ascii="Bookman Old Style" w:hAnsi="Bookman Old Style" w:cs="Arial"/>
          <w:b/>
          <w:bCs/>
          <w:sz w:val="24"/>
          <w:szCs w:val="24"/>
        </w:rPr>
      </w:pPr>
      <w:r w:rsidRPr="002F4A2B">
        <w:rPr>
          <w:rFonts w:ascii="Bookman Old Style" w:hAnsi="Bookman Old Style" w:cs="Arial"/>
          <w:b/>
          <w:bCs/>
          <w:sz w:val="24"/>
          <w:szCs w:val="24"/>
        </w:rPr>
        <w:t>DOS PEDIDOS</w:t>
      </w:r>
    </w:p>
    <w:p w:rsidR="002E3670" w:rsidRPr="002F4A2B" w:rsidP="0042277A" w14:paraId="66345604" w14:textId="77777777">
      <w:pPr>
        <w:pStyle w:val="ListParagraph"/>
        <w:spacing w:after="0" w:line="360" w:lineRule="auto"/>
        <w:ind w:left="1080"/>
        <w:rPr>
          <w:rFonts w:ascii="Bookman Old Style" w:hAnsi="Bookman Old Style" w:cs="Arial"/>
          <w:b/>
          <w:bCs/>
          <w:sz w:val="24"/>
          <w:szCs w:val="24"/>
        </w:rPr>
      </w:pPr>
    </w:p>
    <w:p w:rsidR="00153124" w:rsidRPr="002F4A2B" w:rsidP="0042277A" w14:paraId="1ECED989" w14:textId="77777777">
      <w:pPr>
        <w:spacing w:after="0" w:line="360" w:lineRule="auto"/>
        <w:ind w:firstLine="1134"/>
        <w:jc w:val="both"/>
        <w:rPr>
          <w:rFonts w:ascii="Bookman Old Style" w:hAnsi="Bookman Old Style" w:cs="Arial"/>
          <w:sz w:val="24"/>
          <w:szCs w:val="24"/>
        </w:rPr>
      </w:pPr>
      <w:r w:rsidRPr="002F4A2B">
        <w:rPr>
          <w:rFonts w:ascii="Bookman Old Style" w:hAnsi="Bookman Old Style" w:cs="Arial"/>
          <w:sz w:val="24"/>
          <w:szCs w:val="24"/>
        </w:rPr>
        <w:t xml:space="preserve">Satisfeitos os requisitos constitucionais e regimentais imperativos – assinatura de no mínimo 1/3 dos membros desta Casa e a indicação irrefutável de fatos determinados, </w:t>
      </w:r>
      <w:r w:rsidRPr="002F4A2B">
        <w:rPr>
          <w:rFonts w:ascii="Bookman Old Style" w:hAnsi="Bookman Old Style" w:cs="Arial"/>
          <w:b/>
          <w:bCs/>
          <w:sz w:val="24"/>
          <w:szCs w:val="24"/>
        </w:rPr>
        <w:t>REQUER-SE</w:t>
      </w:r>
      <w:r w:rsidRPr="002F4A2B">
        <w:rPr>
          <w:rFonts w:ascii="Bookman Old Style" w:hAnsi="Bookman Old Style" w:cs="Arial"/>
          <w:sz w:val="24"/>
          <w:szCs w:val="24"/>
        </w:rPr>
        <w:t>:</w:t>
      </w:r>
    </w:p>
    <w:p w:rsidR="00153124" w:rsidRPr="002F4A2B" w:rsidP="0042277A" w14:paraId="007C26E1" w14:textId="77777777">
      <w:pPr>
        <w:pStyle w:val="ListParagraph"/>
        <w:numPr>
          <w:ilvl w:val="0"/>
          <w:numId w:val="4"/>
        </w:numPr>
        <w:spacing w:after="0" w:line="360" w:lineRule="auto"/>
        <w:jc w:val="both"/>
        <w:rPr>
          <w:rFonts w:ascii="Bookman Old Style" w:hAnsi="Bookman Old Style" w:cs="Arial"/>
          <w:sz w:val="24"/>
          <w:szCs w:val="24"/>
        </w:rPr>
      </w:pPr>
      <w:r w:rsidRPr="002F4A2B">
        <w:rPr>
          <w:rFonts w:ascii="Bookman Old Style" w:hAnsi="Bookman Old Style" w:cs="Arial"/>
          <w:sz w:val="24"/>
          <w:szCs w:val="24"/>
        </w:rPr>
        <w:t xml:space="preserve">O recebimento, a leitura imediata em Plenário e a submissão do presente requerimento à aprovação por maioria simples, na ordem do dia (Art. 121, </w:t>
      </w:r>
      <w:r w:rsidRPr="002F4A2B">
        <w:rPr>
          <w:rFonts w:ascii="Bookman Old Style" w:hAnsi="Bookman Old Style" w:cs="Arial"/>
          <w:i/>
          <w:iCs/>
          <w:sz w:val="24"/>
          <w:szCs w:val="24"/>
        </w:rPr>
        <w:t>caput</w:t>
      </w:r>
      <w:r w:rsidRPr="002F4A2B">
        <w:rPr>
          <w:rFonts w:ascii="Bookman Old Style" w:hAnsi="Bookman Old Style" w:cs="Arial"/>
          <w:sz w:val="24"/>
          <w:szCs w:val="24"/>
        </w:rPr>
        <w:t xml:space="preserve"> do RI).</w:t>
      </w:r>
    </w:p>
    <w:p w:rsidR="00153124" w:rsidRPr="002F4A2B" w:rsidP="0042277A" w14:paraId="404DBC52" w14:textId="77777777">
      <w:pPr>
        <w:pStyle w:val="ListParagraph"/>
        <w:numPr>
          <w:ilvl w:val="0"/>
          <w:numId w:val="4"/>
        </w:numPr>
        <w:spacing w:after="0" w:line="360" w:lineRule="auto"/>
        <w:jc w:val="both"/>
        <w:rPr>
          <w:rFonts w:ascii="Bookman Old Style" w:hAnsi="Bookman Old Style" w:cs="Arial"/>
          <w:sz w:val="24"/>
          <w:szCs w:val="24"/>
        </w:rPr>
      </w:pPr>
      <w:r w:rsidRPr="002F4A2B">
        <w:rPr>
          <w:rFonts w:ascii="Bookman Old Style" w:hAnsi="Bookman Old Style" w:cs="Arial"/>
          <w:sz w:val="24"/>
          <w:szCs w:val="24"/>
        </w:rPr>
        <w:t>A expedição do competente Ato da Mesa Diretora, formalizando a constituição da CPI, com a indicação nominal dos membros, do Presidente e do Relator, bem como a fixação de seu prazo (Art. 121, § 2º do RI).</w:t>
      </w:r>
    </w:p>
    <w:p w:rsidR="00153124" w:rsidRPr="002F4A2B" w:rsidP="0042277A" w14:paraId="013E6D89" w14:textId="77777777">
      <w:pPr>
        <w:pStyle w:val="ListParagraph"/>
        <w:spacing w:after="0" w:line="360" w:lineRule="auto"/>
        <w:jc w:val="both"/>
        <w:rPr>
          <w:rFonts w:ascii="Bookman Old Style" w:hAnsi="Bookman Old Style" w:cs="Arial"/>
          <w:sz w:val="24"/>
          <w:szCs w:val="24"/>
        </w:rPr>
      </w:pPr>
    </w:p>
    <w:p w:rsidR="00153124" w:rsidRPr="002F4A2B" w:rsidP="0042277A" w14:paraId="52FCC8C8" w14:textId="77777777">
      <w:pPr>
        <w:pStyle w:val="ListParagraph"/>
        <w:numPr>
          <w:ilvl w:val="0"/>
          <w:numId w:val="4"/>
        </w:numPr>
        <w:spacing w:after="0" w:line="360" w:lineRule="auto"/>
        <w:jc w:val="both"/>
        <w:rPr>
          <w:rFonts w:ascii="Bookman Old Style" w:hAnsi="Bookman Old Style" w:cs="Arial"/>
          <w:sz w:val="24"/>
          <w:szCs w:val="24"/>
        </w:rPr>
      </w:pPr>
      <w:r w:rsidRPr="002F4A2B">
        <w:rPr>
          <w:rFonts w:ascii="Bookman Old Style" w:hAnsi="Bookman Old Style" w:cs="Arial"/>
          <w:sz w:val="24"/>
          <w:szCs w:val="24"/>
        </w:rPr>
        <w:t>A imediata disponibilização de estrutura física, servidores, e eventual apoio técnico-jurídico para o pleno desenvolvimento das diligências, oitivas, levantamento de registros imobiliários e quebras de sigilo, a fim de rastrear as transações referentes aos 40 terrenos (Art. 122 do RI).</w:t>
      </w:r>
    </w:p>
    <w:p w:rsidR="00153124" w:rsidRPr="002F4A2B" w:rsidP="0042277A" w14:paraId="46AF7A59" w14:textId="77777777">
      <w:pPr>
        <w:spacing w:after="0" w:line="360" w:lineRule="auto"/>
        <w:jc w:val="center"/>
        <w:rPr>
          <w:rFonts w:ascii="Bookman Old Style" w:hAnsi="Bookman Old Style" w:cs="Arial"/>
          <w:sz w:val="24"/>
          <w:szCs w:val="24"/>
        </w:rPr>
      </w:pPr>
    </w:p>
    <w:p w:rsidR="00153124" w:rsidRPr="002F4A2B" w:rsidP="0042277A" w14:paraId="54F57788" w14:textId="22859B3C">
      <w:pPr>
        <w:spacing w:after="0" w:line="360" w:lineRule="auto"/>
        <w:jc w:val="center"/>
        <w:rPr>
          <w:rFonts w:ascii="Bookman Old Style" w:hAnsi="Bookman Old Style" w:cs="Arial"/>
          <w:sz w:val="24"/>
          <w:szCs w:val="24"/>
        </w:rPr>
      </w:pPr>
      <w:r w:rsidRPr="002F4A2B">
        <w:rPr>
          <w:rFonts w:ascii="Bookman Old Style" w:hAnsi="Bookman Old Style" w:cs="Arial"/>
          <w:sz w:val="24"/>
          <w:szCs w:val="24"/>
        </w:rPr>
        <w:t>Termos em que,</w:t>
      </w:r>
    </w:p>
    <w:p w:rsidR="00153124" w:rsidRPr="002F4A2B" w:rsidP="0042277A" w14:paraId="67F77605" w14:textId="7AA1007F">
      <w:pPr>
        <w:spacing w:after="0" w:line="360" w:lineRule="auto"/>
        <w:jc w:val="center"/>
        <w:rPr>
          <w:rFonts w:ascii="Bookman Old Style" w:hAnsi="Bookman Old Style" w:cs="Arial"/>
          <w:sz w:val="24"/>
          <w:szCs w:val="24"/>
        </w:rPr>
      </w:pPr>
      <w:r w:rsidRPr="002F4A2B">
        <w:rPr>
          <w:rFonts w:ascii="Bookman Old Style" w:hAnsi="Bookman Old Style" w:cs="Arial"/>
          <w:sz w:val="24"/>
          <w:szCs w:val="24"/>
        </w:rPr>
        <w:t>Pede e espera deferimento.</w:t>
      </w:r>
    </w:p>
    <w:p w:rsidR="00153124" w:rsidRPr="002F4A2B" w:rsidP="0042277A" w14:paraId="1B7780F3" w14:textId="77777777">
      <w:pPr>
        <w:spacing w:after="0" w:line="360" w:lineRule="auto"/>
        <w:jc w:val="center"/>
        <w:rPr>
          <w:rFonts w:ascii="Bookman Old Style" w:hAnsi="Bookman Old Style" w:cs="Arial"/>
          <w:sz w:val="24"/>
          <w:szCs w:val="24"/>
        </w:rPr>
      </w:pPr>
    </w:p>
    <w:p w:rsidR="00153124" w:rsidP="0042277A" w14:paraId="529AA9AA" w14:textId="0D9CEEB8">
      <w:pPr>
        <w:spacing w:after="0" w:line="360" w:lineRule="auto"/>
        <w:jc w:val="center"/>
        <w:rPr>
          <w:rFonts w:ascii="Bookman Old Style" w:hAnsi="Bookman Old Style" w:cs="Arial"/>
          <w:sz w:val="24"/>
          <w:szCs w:val="24"/>
        </w:rPr>
      </w:pPr>
      <w:r w:rsidRPr="002F4A2B">
        <w:rPr>
          <w:rFonts w:ascii="Bookman Old Style" w:hAnsi="Bookman Old Style" w:cs="Arial"/>
          <w:sz w:val="24"/>
          <w:szCs w:val="24"/>
        </w:rPr>
        <w:t>Sumaré/SP, 22 de junho de 2026.</w:t>
      </w:r>
    </w:p>
    <w:p w:rsidR="00383D8B" w:rsidRPr="002F4A2B" w:rsidP="0042277A" w14:paraId="21E073AB" w14:textId="77777777">
      <w:pPr>
        <w:spacing w:after="0" w:line="360" w:lineRule="auto"/>
        <w:jc w:val="center"/>
        <w:rPr>
          <w:rFonts w:ascii="Bookman Old Style" w:hAnsi="Bookman Old Style" w:cs="Arial"/>
          <w:sz w:val="24"/>
          <w:szCs w:val="24"/>
        </w:rPr>
      </w:pPr>
    </w:p>
    <w:p w:rsidR="00153124" w:rsidRPr="002F4A2B" w:rsidP="0042277A" w14:paraId="4D6CAB06" w14:textId="48346CAE">
      <w:pPr>
        <w:spacing w:after="0" w:line="360" w:lineRule="auto"/>
        <w:jc w:val="center"/>
        <w:rPr>
          <w:rFonts w:ascii="Bookman Old Style" w:hAnsi="Bookman Old Style" w:cs="Arial"/>
          <w:b/>
          <w:bCs/>
          <w:sz w:val="24"/>
          <w:szCs w:val="24"/>
        </w:rPr>
      </w:pPr>
      <w:r>
        <w:rPr>
          <w:rFonts w:ascii="Bookman Old Style" w:hAnsi="Bookman Old Style" w:cs="Arial"/>
          <w:b/>
          <w:sz w:val="24"/>
          <w:szCs w:val="24"/>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65.4pt" o:oleicon="f" o:ole="">
            <v:imagedata r:id="rId6" o:title=""/>
          </v:shape>
          <o:OLEObject Type="Embed" ProgID="Acrobat.Document.DC" ShapeID="_x0000_i1025" DrawAspect="Content" ObjectID="_1843645176" r:id="rId7"/>
        </w:object>
      </w:r>
    </w:p>
    <w:p w:rsidR="00A00565" w:rsidRPr="002F4A2B" w:rsidP="0042277A" w14:paraId="246372C9" w14:textId="77777777">
      <w:pPr>
        <w:spacing w:after="0" w:line="240" w:lineRule="auto"/>
        <w:jc w:val="center"/>
        <w:rPr>
          <w:rFonts w:ascii="Bookman Old Style" w:hAnsi="Bookman Old Style" w:cs="Arial"/>
          <w:b/>
          <w:sz w:val="24"/>
          <w:szCs w:val="24"/>
        </w:rPr>
      </w:pPr>
      <w:r w:rsidRPr="002F4A2B">
        <w:rPr>
          <w:rFonts w:ascii="Bookman Old Style" w:hAnsi="Bookman Old Style" w:cs="Arial"/>
          <w:b/>
          <w:sz w:val="24"/>
          <w:szCs w:val="24"/>
        </w:rPr>
        <w:t>Rai</w:t>
      </w:r>
      <w:r w:rsidRPr="002F4A2B">
        <w:rPr>
          <w:rFonts w:ascii="Bookman Old Style" w:hAnsi="Bookman Old Style" w:cs="Arial"/>
          <w:b/>
          <w:sz w:val="24"/>
          <w:szCs w:val="24"/>
        </w:rPr>
        <w:t xml:space="preserve"> Stein </w:t>
      </w:r>
      <w:r w:rsidRPr="002F4A2B">
        <w:rPr>
          <w:rFonts w:ascii="Bookman Old Style" w:hAnsi="Bookman Old Style" w:cs="Arial"/>
          <w:b/>
          <w:sz w:val="24"/>
          <w:szCs w:val="24"/>
        </w:rPr>
        <w:t>Sciascio</w:t>
      </w:r>
    </w:p>
    <w:p w:rsidR="00A00565" w:rsidRPr="002F4A2B" w:rsidP="0042277A" w14:paraId="16375380" w14:textId="77777777">
      <w:pPr>
        <w:spacing w:after="0" w:line="240" w:lineRule="auto"/>
        <w:jc w:val="center"/>
        <w:rPr>
          <w:rFonts w:ascii="Bookman Old Style" w:hAnsi="Bookman Old Style" w:cs="Arial"/>
          <w:b/>
          <w:sz w:val="24"/>
          <w:szCs w:val="24"/>
        </w:rPr>
      </w:pPr>
      <w:r w:rsidRPr="002F4A2B">
        <w:rPr>
          <w:rFonts w:ascii="Bookman Old Style" w:hAnsi="Bookman Old Style" w:cs="Arial"/>
          <w:b/>
          <w:sz w:val="24"/>
          <w:szCs w:val="24"/>
        </w:rPr>
        <w:t>Rai</w:t>
      </w:r>
      <w:r w:rsidRPr="002F4A2B">
        <w:rPr>
          <w:rFonts w:ascii="Bookman Old Style" w:hAnsi="Bookman Old Style" w:cs="Arial"/>
          <w:b/>
          <w:sz w:val="24"/>
          <w:szCs w:val="24"/>
        </w:rPr>
        <w:t xml:space="preserve"> do Paraíso</w:t>
      </w:r>
    </w:p>
    <w:p w:rsidR="0039235B" w:rsidRPr="002F4A2B" w:rsidP="0042277A" w14:paraId="08C7A129" w14:textId="77777777">
      <w:pPr>
        <w:spacing w:after="0" w:line="276" w:lineRule="auto"/>
        <w:rPr>
          <w:rFonts w:ascii="Bookman Old Style" w:hAnsi="Bookman Old Style" w:cs="Arial"/>
          <w:b/>
          <w:sz w:val="24"/>
          <w:szCs w:val="24"/>
        </w:rPr>
      </w:pPr>
    </w:p>
    <w:p w:rsidR="00A7144C" w:rsidRPr="002F4A2B" w:rsidP="0042277A" w14:paraId="024B414B" w14:textId="77777777">
      <w:pPr>
        <w:spacing w:after="0" w:line="276" w:lineRule="auto"/>
        <w:rPr>
          <w:rFonts w:ascii="Bookman Old Style" w:hAnsi="Bookman Old Style" w:cs="Arial"/>
          <w:b/>
          <w:sz w:val="24"/>
          <w:szCs w:val="24"/>
        </w:rPr>
      </w:pPr>
    </w:p>
    <w:p w:rsidR="0039235B" w:rsidRPr="002F4A2B" w:rsidP="0042277A" w14:paraId="2438FCB1" w14:textId="77777777">
      <w:pPr>
        <w:spacing w:after="0" w:line="276" w:lineRule="auto"/>
        <w:rPr>
          <w:rFonts w:ascii="Bookman Old Style" w:hAnsi="Bookman Old Style" w:cs="Arial"/>
          <w:b/>
          <w:sz w:val="24"/>
          <w:szCs w:val="24"/>
        </w:rPr>
      </w:pPr>
    </w:p>
    <w:p w:rsidR="00BD6F41" w:rsidP="0042277A" w14:paraId="28699328" w14:textId="77777777">
      <w:pPr>
        <w:spacing w:after="0" w:line="276" w:lineRule="auto"/>
        <w:rPr>
          <w:rFonts w:ascii="Bookman Old Style" w:hAnsi="Bookman Old Style" w:cs="Arial"/>
          <w:b/>
          <w:sz w:val="24"/>
          <w:szCs w:val="24"/>
        </w:rPr>
        <w:sectPr w:rsidSect="00081D45">
          <w:headerReference w:type="default" r:id="rId8"/>
          <w:footerReference w:type="even" r:id="rId9"/>
          <w:footerReference w:type="default" r:id="rId10"/>
          <w:footerReference w:type="first" r:id="rId11"/>
          <w:type w:val="continuous"/>
          <w:pgSz w:w="11906" w:h="16838"/>
          <w:pgMar w:top="2127" w:right="1274" w:bottom="2127" w:left="1418" w:header="708" w:footer="708" w:gutter="0"/>
          <w:cols w:space="708"/>
          <w:docGrid w:linePitch="360"/>
        </w:sectPr>
      </w:pPr>
    </w:p>
    <w:p w:rsidR="005D3D69" w:rsidRPr="002F4A2B" w:rsidP="00EE760D" w14:paraId="2508179A" w14:textId="77777777">
      <w:pPr>
        <w:spacing w:after="0" w:line="276" w:lineRule="auto"/>
        <w:jc w:val="center"/>
        <w:rPr>
          <w:rFonts w:ascii="Bookman Old Style" w:hAnsi="Bookman Old Style" w:cs="Arial"/>
          <w:b/>
          <w:sz w:val="24"/>
          <w:szCs w:val="24"/>
        </w:rPr>
        <w:sectPr w:rsidSect="00BD6F41">
          <w:type w:val="continuous"/>
          <w:pgSz w:w="11906" w:h="16838"/>
          <w:pgMar w:top="2127" w:right="1274" w:bottom="2127" w:left="1418" w:header="708" w:footer="708" w:gutter="0"/>
          <w:cols w:space="708"/>
          <w:docGrid w:linePitch="360"/>
        </w:sectPr>
      </w:pPr>
    </w:p>
    <w:p w:rsidR="00917759" w:rsidRPr="002F4A2B" w:rsidP="00EE760D" w14:paraId="6DE08CAE" w14:textId="18687E5B">
      <w:pPr>
        <w:spacing w:after="0" w:line="276" w:lineRule="auto"/>
        <w:jc w:val="center"/>
        <w:rPr>
          <w:rFonts w:ascii="Bookman Old Style" w:hAnsi="Bookman Old Style" w:cs="Arial"/>
          <w:b/>
          <w:sz w:val="24"/>
          <w:szCs w:val="24"/>
        </w:rPr>
      </w:pPr>
      <w:r w:rsidRPr="002F4A2B">
        <w:rPr>
          <w:rFonts w:ascii="Bookman Old Style" w:hAnsi="Bookman Old Style" w:cs="Arial"/>
          <w:b/>
          <w:sz w:val="24"/>
          <w:szCs w:val="24"/>
        </w:rPr>
        <w:t>Alan Leal</w:t>
      </w:r>
    </w:p>
    <w:p w:rsidR="004A1150" w:rsidRPr="002F4A2B" w:rsidP="00EE760D" w14:paraId="74172252" w14:textId="77777777">
      <w:pPr>
        <w:spacing w:after="0" w:line="276" w:lineRule="auto"/>
        <w:jc w:val="center"/>
        <w:rPr>
          <w:rFonts w:ascii="Bookman Old Style" w:hAnsi="Bookman Old Style" w:cs="Arial"/>
          <w:b/>
          <w:sz w:val="24"/>
          <w:szCs w:val="24"/>
        </w:rPr>
      </w:pPr>
    </w:p>
    <w:p w:rsidR="004A1150" w:rsidRPr="002F4A2B" w:rsidP="00EE760D" w14:paraId="4AF52A9C" w14:textId="77777777">
      <w:pPr>
        <w:spacing w:after="0" w:line="276" w:lineRule="auto"/>
        <w:jc w:val="center"/>
        <w:rPr>
          <w:rFonts w:ascii="Bookman Old Style" w:hAnsi="Bookman Old Style" w:cs="Arial"/>
          <w:b/>
          <w:sz w:val="24"/>
          <w:szCs w:val="24"/>
        </w:rPr>
      </w:pPr>
    </w:p>
    <w:p w:rsidR="004A1150" w:rsidRPr="002F4A2B" w:rsidP="00EE760D" w14:paraId="317CA097" w14:textId="77777777">
      <w:pPr>
        <w:spacing w:after="0" w:line="276" w:lineRule="auto"/>
        <w:jc w:val="center"/>
        <w:rPr>
          <w:rFonts w:ascii="Bookman Old Style" w:hAnsi="Bookman Old Style" w:cs="Arial"/>
          <w:b/>
          <w:sz w:val="24"/>
          <w:szCs w:val="24"/>
        </w:rPr>
      </w:pPr>
    </w:p>
    <w:p w:rsidR="004A1150" w:rsidRPr="002F4A2B" w:rsidP="00EE760D" w14:paraId="0BBB4916" w14:textId="77777777">
      <w:pPr>
        <w:spacing w:after="0" w:line="276" w:lineRule="auto"/>
        <w:jc w:val="center"/>
        <w:rPr>
          <w:rFonts w:ascii="Bookman Old Style" w:hAnsi="Bookman Old Style" w:cs="Arial"/>
          <w:b/>
          <w:bCs/>
          <w:sz w:val="24"/>
          <w:szCs w:val="24"/>
        </w:rPr>
      </w:pPr>
      <w:r w:rsidRPr="002F4A2B">
        <w:rPr>
          <w:rFonts w:ascii="Bookman Old Style" w:hAnsi="Bookman Old Style" w:cs="Arial"/>
          <w:b/>
          <w:bCs/>
          <w:sz w:val="24"/>
          <w:szCs w:val="24"/>
        </w:rPr>
        <w:t xml:space="preserve">Allan </w:t>
      </w:r>
      <w:r w:rsidRPr="002F4A2B">
        <w:rPr>
          <w:rFonts w:ascii="Bookman Old Style" w:hAnsi="Bookman Old Style" w:cs="Arial"/>
          <w:b/>
          <w:bCs/>
          <w:sz w:val="24"/>
          <w:szCs w:val="24"/>
        </w:rPr>
        <w:t>Sangalli</w:t>
      </w:r>
    </w:p>
    <w:p w:rsidR="004A1150" w:rsidRPr="002F4A2B" w:rsidP="00EE760D" w14:paraId="0720ADE1" w14:textId="77777777">
      <w:pPr>
        <w:spacing w:after="0" w:line="276" w:lineRule="auto"/>
        <w:jc w:val="center"/>
        <w:rPr>
          <w:rFonts w:ascii="Bookman Old Style" w:hAnsi="Bookman Old Style" w:cs="Arial"/>
          <w:b/>
          <w:sz w:val="24"/>
          <w:szCs w:val="24"/>
        </w:rPr>
      </w:pPr>
    </w:p>
    <w:p w:rsidR="0039235B" w:rsidRPr="002F4A2B" w:rsidP="00EE760D" w14:paraId="5547CB52" w14:textId="77777777">
      <w:pPr>
        <w:spacing w:after="0" w:line="276" w:lineRule="auto"/>
        <w:jc w:val="center"/>
        <w:rPr>
          <w:rFonts w:ascii="Bookman Old Style" w:hAnsi="Bookman Old Style" w:cs="Arial"/>
          <w:b/>
          <w:sz w:val="24"/>
          <w:szCs w:val="24"/>
        </w:rPr>
      </w:pPr>
    </w:p>
    <w:p w:rsidR="0039235B" w:rsidRPr="002F4A2B" w:rsidP="00EE760D" w14:paraId="6E4D5A1B" w14:textId="77777777">
      <w:pPr>
        <w:spacing w:after="0" w:line="276" w:lineRule="auto"/>
        <w:jc w:val="center"/>
        <w:rPr>
          <w:rFonts w:ascii="Bookman Old Style" w:hAnsi="Bookman Old Style" w:cs="Arial"/>
          <w:b/>
          <w:sz w:val="24"/>
          <w:szCs w:val="24"/>
        </w:rPr>
      </w:pPr>
    </w:p>
    <w:p w:rsidR="00BD6F41" w:rsidP="00EE760D" w14:paraId="348668E4" w14:textId="20A83B5B">
      <w:pPr>
        <w:spacing w:after="0" w:line="276" w:lineRule="auto"/>
        <w:jc w:val="center"/>
        <w:rPr>
          <w:rFonts w:ascii="Bookman Old Style" w:hAnsi="Bookman Old Style" w:cs="Arial"/>
          <w:b/>
          <w:bCs/>
          <w:sz w:val="24"/>
          <w:szCs w:val="24"/>
        </w:rPr>
      </w:pPr>
      <w:r w:rsidRPr="00776CC0">
        <w:rPr>
          <w:rFonts w:ascii="Bookman Old Style" w:hAnsi="Bookman Old Style" w:cs="Arial"/>
          <w:b/>
          <w:bCs/>
          <w:sz w:val="24"/>
          <w:szCs w:val="24"/>
        </w:rPr>
        <w:t>César Bianchi</w:t>
      </w:r>
    </w:p>
    <w:p w:rsidR="00BC78D3" w:rsidRPr="002F4A2B" w:rsidP="00EE760D" w14:paraId="6A46320D" w14:textId="2372BA16">
      <w:pPr>
        <w:spacing w:after="0" w:line="276" w:lineRule="auto"/>
        <w:jc w:val="center"/>
        <w:rPr>
          <w:rFonts w:ascii="Bookman Old Style" w:hAnsi="Bookman Old Style" w:cs="Arial"/>
          <w:b/>
          <w:bCs/>
          <w:sz w:val="24"/>
          <w:szCs w:val="24"/>
        </w:rPr>
      </w:pPr>
      <w:r w:rsidRPr="002F4A2B">
        <w:rPr>
          <w:rFonts w:ascii="Bookman Old Style" w:hAnsi="Bookman Old Style" w:cs="Arial"/>
          <w:b/>
          <w:bCs/>
          <w:sz w:val="24"/>
          <w:szCs w:val="24"/>
        </w:rPr>
        <w:t>João Maioral</w:t>
      </w:r>
    </w:p>
    <w:p w:rsidR="00BC78D3" w:rsidP="00EE760D" w14:paraId="45767D3D" w14:textId="77777777">
      <w:pPr>
        <w:spacing w:after="0" w:line="276" w:lineRule="auto"/>
        <w:jc w:val="center"/>
        <w:rPr>
          <w:rFonts w:ascii="Bookman Old Style" w:hAnsi="Bookman Old Style" w:cs="Arial"/>
          <w:b/>
          <w:bCs/>
          <w:sz w:val="24"/>
          <w:szCs w:val="24"/>
        </w:rPr>
      </w:pPr>
    </w:p>
    <w:p w:rsidR="00BD6F41" w:rsidP="00EE760D" w14:paraId="6A2692A9" w14:textId="77777777">
      <w:pPr>
        <w:spacing w:after="0" w:line="276" w:lineRule="auto"/>
        <w:jc w:val="center"/>
        <w:rPr>
          <w:rFonts w:ascii="Bookman Old Style" w:hAnsi="Bookman Old Style" w:cs="Arial"/>
          <w:b/>
          <w:bCs/>
          <w:sz w:val="24"/>
          <w:szCs w:val="24"/>
        </w:rPr>
      </w:pPr>
    </w:p>
    <w:p w:rsidR="00BD6F41" w:rsidRPr="002F4A2B" w:rsidP="00EE760D" w14:paraId="63B1BF16" w14:textId="77777777">
      <w:pPr>
        <w:spacing w:after="0" w:line="276" w:lineRule="auto"/>
        <w:jc w:val="center"/>
        <w:rPr>
          <w:rFonts w:ascii="Bookman Old Style" w:hAnsi="Bookman Old Style" w:cs="Arial"/>
          <w:b/>
          <w:bCs/>
          <w:sz w:val="24"/>
          <w:szCs w:val="24"/>
        </w:rPr>
      </w:pPr>
    </w:p>
    <w:p w:rsidR="00122F43" w:rsidRPr="002F4A2B" w:rsidP="00EE760D" w14:paraId="7A26C109" w14:textId="77777777">
      <w:pPr>
        <w:spacing w:after="0" w:line="276" w:lineRule="auto"/>
        <w:jc w:val="center"/>
        <w:rPr>
          <w:rFonts w:ascii="Bookman Old Style" w:hAnsi="Bookman Old Style" w:cs="Arial"/>
          <w:b/>
          <w:bCs/>
          <w:sz w:val="24"/>
          <w:szCs w:val="24"/>
        </w:rPr>
      </w:pPr>
      <w:r w:rsidRPr="002F4A2B">
        <w:rPr>
          <w:rFonts w:ascii="Bookman Old Style" w:hAnsi="Bookman Old Style" w:cs="Arial"/>
          <w:b/>
          <w:bCs/>
          <w:sz w:val="24"/>
          <w:szCs w:val="24"/>
        </w:rPr>
        <w:t>Joel</w:t>
      </w:r>
    </w:p>
    <w:p w:rsidR="0039235B" w:rsidRPr="002F4A2B" w:rsidP="00EE760D" w14:paraId="53AA510B" w14:textId="77777777">
      <w:pPr>
        <w:spacing w:after="0" w:line="276" w:lineRule="auto"/>
        <w:jc w:val="center"/>
        <w:rPr>
          <w:rFonts w:ascii="Bookman Old Style" w:hAnsi="Bookman Old Style" w:cs="Arial"/>
          <w:b/>
          <w:bCs/>
          <w:sz w:val="24"/>
          <w:szCs w:val="24"/>
        </w:rPr>
      </w:pPr>
    </w:p>
    <w:p w:rsidR="0039235B" w:rsidRPr="002F4A2B" w:rsidP="00EE760D" w14:paraId="75B1A9D0" w14:textId="77777777">
      <w:pPr>
        <w:spacing w:after="0" w:line="276" w:lineRule="auto"/>
        <w:jc w:val="center"/>
        <w:rPr>
          <w:rFonts w:ascii="Bookman Old Style" w:hAnsi="Bookman Old Style" w:cs="Arial"/>
          <w:b/>
          <w:bCs/>
          <w:sz w:val="24"/>
          <w:szCs w:val="24"/>
        </w:rPr>
      </w:pPr>
    </w:p>
    <w:p w:rsidR="0039235B" w:rsidRPr="002F4A2B" w:rsidP="00EE760D" w14:paraId="32225DA5" w14:textId="77777777">
      <w:pPr>
        <w:spacing w:after="0" w:line="276" w:lineRule="auto"/>
        <w:jc w:val="center"/>
        <w:rPr>
          <w:rFonts w:ascii="Bookman Old Style" w:hAnsi="Bookman Old Style" w:cs="Arial"/>
          <w:b/>
          <w:bCs/>
          <w:sz w:val="24"/>
          <w:szCs w:val="24"/>
        </w:rPr>
      </w:pPr>
    </w:p>
    <w:p w:rsidR="000D588D" w:rsidRPr="002F4A2B" w:rsidP="00EE760D" w14:paraId="5A5E284E" w14:textId="77777777">
      <w:pPr>
        <w:spacing w:after="0" w:line="276" w:lineRule="auto"/>
        <w:jc w:val="center"/>
        <w:rPr>
          <w:rFonts w:ascii="Bookman Old Style" w:hAnsi="Bookman Old Style" w:cs="Arial"/>
          <w:b/>
          <w:bCs/>
          <w:sz w:val="24"/>
          <w:szCs w:val="24"/>
        </w:rPr>
      </w:pPr>
      <w:r w:rsidRPr="002F4A2B">
        <w:rPr>
          <w:rFonts w:ascii="Bookman Old Style" w:hAnsi="Bookman Old Style" w:cs="Arial"/>
          <w:b/>
          <w:bCs/>
          <w:sz w:val="24"/>
          <w:szCs w:val="24"/>
        </w:rPr>
        <w:t>Lucas Agostinho</w:t>
      </w:r>
    </w:p>
    <w:p w:rsidR="0039235B" w:rsidRPr="002F4A2B" w:rsidP="00EE760D" w14:paraId="26450480" w14:textId="77777777">
      <w:pPr>
        <w:spacing w:after="0" w:line="276" w:lineRule="auto"/>
        <w:jc w:val="center"/>
        <w:rPr>
          <w:rFonts w:ascii="Bookman Old Style" w:hAnsi="Bookman Old Style" w:cs="Arial"/>
          <w:b/>
          <w:bCs/>
          <w:sz w:val="24"/>
          <w:szCs w:val="24"/>
        </w:rPr>
      </w:pPr>
    </w:p>
    <w:p w:rsidR="0039235B" w:rsidRPr="002F4A2B" w:rsidP="00EE760D" w14:paraId="2F4552FE" w14:textId="77777777">
      <w:pPr>
        <w:spacing w:after="0" w:line="276" w:lineRule="auto"/>
        <w:jc w:val="center"/>
        <w:rPr>
          <w:rFonts w:ascii="Bookman Old Style" w:hAnsi="Bookman Old Style" w:cs="Arial"/>
          <w:b/>
          <w:bCs/>
          <w:sz w:val="24"/>
          <w:szCs w:val="24"/>
        </w:rPr>
      </w:pPr>
    </w:p>
    <w:p w:rsidR="00602281" w:rsidP="00EE760D" w14:paraId="53B3DB05" w14:textId="77777777">
      <w:pPr>
        <w:spacing w:after="0" w:line="276" w:lineRule="auto"/>
        <w:jc w:val="center"/>
        <w:rPr>
          <w:rFonts w:ascii="Bookman Old Style" w:hAnsi="Bookman Old Style" w:cs="Arial"/>
          <w:b/>
          <w:bCs/>
          <w:sz w:val="24"/>
          <w:szCs w:val="24"/>
        </w:rPr>
      </w:pPr>
    </w:p>
    <w:p w:rsidR="00E32337" w:rsidP="00EE760D" w14:paraId="6EE02D00" w14:textId="77777777">
      <w:pPr>
        <w:spacing w:after="0" w:line="276" w:lineRule="auto"/>
        <w:jc w:val="center"/>
        <w:rPr>
          <w:rFonts w:ascii="Bookman Old Style" w:hAnsi="Bookman Old Style" w:cs="Arial"/>
          <w:b/>
          <w:bCs/>
          <w:sz w:val="24"/>
          <w:szCs w:val="24"/>
        </w:rPr>
        <w:sectPr w:rsidSect="003200AC">
          <w:type w:val="continuous"/>
          <w:pgSz w:w="11906" w:h="16838"/>
          <w:pgMar w:top="2127" w:right="1274" w:bottom="2127" w:left="1418" w:header="708" w:footer="708" w:gutter="0"/>
          <w:cols w:num="2" w:space="708"/>
          <w:docGrid w:linePitch="360"/>
        </w:sectPr>
      </w:pPr>
    </w:p>
    <w:p w:rsidR="005914D3" w:rsidP="00EE760D" w14:paraId="29A0438C" w14:textId="62362EF2">
      <w:pPr>
        <w:spacing w:after="0" w:line="276" w:lineRule="auto"/>
        <w:jc w:val="center"/>
        <w:rPr>
          <w:rFonts w:ascii="Bookman Old Style" w:hAnsi="Bookman Old Style" w:cs="Arial"/>
          <w:b/>
          <w:bCs/>
          <w:sz w:val="24"/>
          <w:szCs w:val="24"/>
        </w:rPr>
      </w:pPr>
      <w:r w:rsidRPr="002F4A2B">
        <w:rPr>
          <w:rFonts w:ascii="Bookman Old Style" w:hAnsi="Bookman Old Style" w:cs="Arial"/>
          <w:b/>
          <w:bCs/>
          <w:sz w:val="24"/>
          <w:szCs w:val="24"/>
        </w:rPr>
        <w:t>Prof. Edinho</w:t>
      </w:r>
    </w:p>
    <w:p w:rsidR="001449AB" w:rsidP="00EE760D" w14:paraId="2871B65D" w14:textId="77777777">
      <w:pPr>
        <w:spacing w:after="0" w:line="276" w:lineRule="auto"/>
        <w:jc w:val="center"/>
        <w:rPr>
          <w:rFonts w:ascii="Bookman Old Style" w:hAnsi="Bookman Old Style" w:cs="Arial"/>
          <w:b/>
          <w:bCs/>
          <w:sz w:val="24"/>
          <w:szCs w:val="24"/>
        </w:rPr>
      </w:pPr>
    </w:p>
    <w:p w:rsidR="001449AB" w:rsidP="00EE760D" w14:paraId="40A90689" w14:textId="77777777">
      <w:pPr>
        <w:spacing w:after="0" w:line="276" w:lineRule="auto"/>
        <w:jc w:val="center"/>
        <w:rPr>
          <w:rFonts w:ascii="Bookman Old Style" w:hAnsi="Bookman Old Style" w:cs="Arial"/>
          <w:b/>
          <w:bCs/>
          <w:sz w:val="24"/>
          <w:szCs w:val="24"/>
        </w:rPr>
      </w:pPr>
    </w:p>
    <w:p w:rsidR="001449AB" w:rsidRPr="002F4A2B" w:rsidP="00EE760D" w14:paraId="69F77257" w14:textId="77777777">
      <w:pPr>
        <w:spacing w:after="0" w:line="276" w:lineRule="auto"/>
        <w:jc w:val="center"/>
        <w:rPr>
          <w:rFonts w:ascii="Bookman Old Style" w:hAnsi="Bookman Old Style" w:cs="Arial"/>
          <w:b/>
          <w:bCs/>
          <w:sz w:val="24"/>
          <w:szCs w:val="24"/>
        </w:rPr>
      </w:pPr>
    </w:p>
    <w:p w:rsidR="003F64AE" w:rsidP="00EE760D" w14:paraId="0ED31E75" w14:textId="77777777">
      <w:pPr>
        <w:spacing w:after="0" w:line="276" w:lineRule="auto"/>
        <w:jc w:val="center"/>
        <w:rPr>
          <w:rFonts w:ascii="Bookman Old Style" w:hAnsi="Bookman Old Style" w:cs="Arial"/>
          <w:b/>
          <w:bCs/>
          <w:sz w:val="24"/>
          <w:szCs w:val="24"/>
        </w:rPr>
      </w:pPr>
      <w:r w:rsidRPr="002F4A2B">
        <w:rPr>
          <w:rFonts w:ascii="Bookman Old Style" w:hAnsi="Bookman Old Style" w:cs="Arial"/>
          <w:b/>
          <w:bCs/>
          <w:sz w:val="24"/>
          <w:szCs w:val="24"/>
        </w:rPr>
        <w:t>Tavares</w:t>
      </w:r>
    </w:p>
    <w:p w:rsidR="001449AB" w:rsidP="00EE760D" w14:paraId="73DF390E" w14:textId="77777777">
      <w:pPr>
        <w:spacing w:after="0" w:line="276" w:lineRule="auto"/>
        <w:jc w:val="center"/>
        <w:rPr>
          <w:rFonts w:ascii="Bookman Old Style" w:hAnsi="Bookman Old Style" w:cs="Arial"/>
          <w:b/>
          <w:bCs/>
          <w:sz w:val="24"/>
          <w:szCs w:val="24"/>
        </w:rPr>
      </w:pPr>
    </w:p>
    <w:p w:rsidR="001449AB" w:rsidP="00EE760D" w14:paraId="7A63ACE8" w14:textId="77777777">
      <w:pPr>
        <w:spacing w:after="0" w:line="276" w:lineRule="auto"/>
        <w:jc w:val="center"/>
        <w:rPr>
          <w:rFonts w:ascii="Bookman Old Style" w:hAnsi="Bookman Old Style" w:cs="Arial"/>
          <w:b/>
          <w:bCs/>
          <w:sz w:val="24"/>
          <w:szCs w:val="24"/>
        </w:rPr>
      </w:pPr>
    </w:p>
    <w:p w:rsidR="001449AB" w:rsidRPr="002F4A2B" w:rsidP="00EE760D" w14:paraId="3F8718AE" w14:textId="77777777">
      <w:pPr>
        <w:spacing w:after="0" w:line="276" w:lineRule="auto"/>
        <w:jc w:val="center"/>
        <w:rPr>
          <w:rFonts w:ascii="Bookman Old Style" w:hAnsi="Bookman Old Style" w:cs="Arial"/>
          <w:b/>
          <w:bCs/>
          <w:sz w:val="24"/>
          <w:szCs w:val="24"/>
        </w:rPr>
      </w:pPr>
    </w:p>
    <w:p w:rsidR="003F64AE" w:rsidP="00EE760D" w14:paraId="62A9903C" w14:textId="73959A6E">
      <w:pPr>
        <w:spacing w:after="0" w:line="276" w:lineRule="auto"/>
        <w:jc w:val="center"/>
        <w:rPr>
          <w:rFonts w:ascii="Bookman Old Style" w:hAnsi="Bookman Old Style" w:cs="Arial"/>
          <w:b/>
          <w:bCs/>
          <w:sz w:val="24"/>
          <w:szCs w:val="24"/>
        </w:rPr>
      </w:pPr>
      <w:r w:rsidRPr="002F4A2B">
        <w:rPr>
          <w:rFonts w:ascii="Bookman Old Style" w:hAnsi="Bookman Old Style" w:cs="Arial"/>
          <w:b/>
          <w:bCs/>
          <w:sz w:val="24"/>
          <w:szCs w:val="24"/>
        </w:rPr>
        <w:t>Valdir</w:t>
      </w:r>
      <w:r w:rsidRPr="002F4A2B" w:rsidR="00081D45">
        <w:rPr>
          <w:rFonts w:ascii="Bookman Old Style" w:hAnsi="Bookman Old Style" w:cs="Arial"/>
          <w:b/>
          <w:bCs/>
          <w:sz w:val="24"/>
          <w:szCs w:val="24"/>
        </w:rPr>
        <w:t xml:space="preserve"> de Oliveira</w:t>
      </w:r>
    </w:p>
    <w:p w:rsidR="001449AB" w:rsidP="00EE760D" w14:paraId="43EBA3C0" w14:textId="77777777">
      <w:pPr>
        <w:spacing w:after="0" w:line="276" w:lineRule="auto"/>
        <w:jc w:val="center"/>
        <w:rPr>
          <w:rFonts w:ascii="Bookman Old Style" w:hAnsi="Bookman Old Style" w:cs="Arial"/>
          <w:b/>
          <w:bCs/>
          <w:sz w:val="24"/>
          <w:szCs w:val="24"/>
        </w:rPr>
      </w:pPr>
    </w:p>
    <w:p w:rsidR="001449AB" w:rsidP="00EE760D" w14:paraId="0EB4D65A" w14:textId="77777777">
      <w:pPr>
        <w:spacing w:after="0" w:line="276" w:lineRule="auto"/>
        <w:jc w:val="center"/>
        <w:rPr>
          <w:rFonts w:ascii="Bookman Old Style" w:hAnsi="Bookman Old Style" w:cs="Arial"/>
          <w:b/>
          <w:bCs/>
          <w:sz w:val="24"/>
          <w:szCs w:val="24"/>
        </w:rPr>
      </w:pPr>
    </w:p>
    <w:p w:rsidR="001449AB" w:rsidRPr="002F4A2B" w:rsidP="00EE760D" w14:paraId="0DAB4B6E" w14:textId="77777777">
      <w:pPr>
        <w:spacing w:after="0" w:line="276" w:lineRule="auto"/>
        <w:jc w:val="center"/>
        <w:rPr>
          <w:rFonts w:ascii="Bookman Old Style" w:hAnsi="Bookman Old Style" w:cs="Arial"/>
          <w:b/>
          <w:bCs/>
          <w:sz w:val="24"/>
          <w:szCs w:val="24"/>
        </w:rPr>
      </w:pPr>
    </w:p>
    <w:p w:rsidR="003F64AE" w:rsidP="00EE760D" w14:paraId="73B00070" w14:textId="77777777">
      <w:pPr>
        <w:spacing w:after="0" w:line="276" w:lineRule="auto"/>
        <w:jc w:val="center"/>
        <w:rPr>
          <w:rFonts w:ascii="Bookman Old Style" w:hAnsi="Bookman Old Style" w:cs="Arial"/>
          <w:b/>
          <w:bCs/>
          <w:sz w:val="24"/>
          <w:szCs w:val="24"/>
        </w:rPr>
      </w:pPr>
      <w:r w:rsidRPr="002F4A2B">
        <w:rPr>
          <w:rFonts w:ascii="Bookman Old Style" w:hAnsi="Bookman Old Style" w:cs="Arial"/>
          <w:b/>
          <w:bCs/>
          <w:sz w:val="24"/>
          <w:szCs w:val="24"/>
        </w:rPr>
        <w:t>Welington da Farmácia</w:t>
      </w:r>
    </w:p>
    <w:p w:rsidR="001449AB" w:rsidP="00EE760D" w14:paraId="6F32C001" w14:textId="77777777">
      <w:pPr>
        <w:spacing w:after="0" w:line="276" w:lineRule="auto"/>
        <w:jc w:val="center"/>
        <w:rPr>
          <w:rFonts w:ascii="Bookman Old Style" w:hAnsi="Bookman Old Style" w:cs="Arial"/>
          <w:b/>
          <w:bCs/>
          <w:sz w:val="24"/>
          <w:szCs w:val="24"/>
        </w:rPr>
      </w:pPr>
    </w:p>
    <w:p w:rsidR="001449AB" w:rsidP="00EE760D" w14:paraId="6914DB32" w14:textId="77777777">
      <w:pPr>
        <w:spacing w:after="0" w:line="276" w:lineRule="auto"/>
        <w:jc w:val="center"/>
        <w:rPr>
          <w:rFonts w:ascii="Bookman Old Style" w:hAnsi="Bookman Old Style" w:cs="Arial"/>
          <w:b/>
          <w:bCs/>
          <w:sz w:val="24"/>
          <w:szCs w:val="24"/>
        </w:rPr>
      </w:pPr>
    </w:p>
    <w:p w:rsidR="001449AB" w:rsidRPr="002F4A2B" w:rsidP="00EE760D" w14:paraId="473E8D1B" w14:textId="77777777">
      <w:pPr>
        <w:spacing w:after="0" w:line="276" w:lineRule="auto"/>
        <w:jc w:val="center"/>
        <w:rPr>
          <w:rFonts w:ascii="Bookman Old Style" w:hAnsi="Bookman Old Style" w:cs="Arial"/>
          <w:b/>
          <w:bCs/>
          <w:sz w:val="24"/>
          <w:szCs w:val="24"/>
        </w:rPr>
      </w:pPr>
    </w:p>
    <w:p w:rsidR="005D3D69" w:rsidRPr="002F4A2B" w:rsidP="00EE760D" w14:paraId="427E389A" w14:textId="77777777">
      <w:pPr>
        <w:spacing w:after="0" w:line="276" w:lineRule="auto"/>
        <w:jc w:val="center"/>
        <w:rPr>
          <w:rFonts w:ascii="Bookman Old Style" w:hAnsi="Bookman Old Style" w:cs="Arial"/>
          <w:b/>
          <w:bCs/>
          <w:sz w:val="24"/>
          <w:szCs w:val="24"/>
        </w:rPr>
        <w:sectPr w:rsidSect="00937574">
          <w:type w:val="continuous"/>
          <w:pgSz w:w="11906" w:h="16838"/>
          <w:pgMar w:top="2127" w:right="1274" w:bottom="2127" w:left="1418" w:header="708" w:footer="708" w:gutter="0"/>
          <w:cols w:num="2" w:space="708"/>
          <w:docGrid w:linePitch="360"/>
        </w:sectPr>
      </w:pPr>
      <w:r w:rsidRPr="002F4A2B">
        <w:rPr>
          <w:rFonts w:ascii="Bookman Old Style" w:hAnsi="Bookman Old Style" w:cs="Arial"/>
          <w:b/>
          <w:bCs/>
          <w:sz w:val="24"/>
          <w:szCs w:val="24"/>
        </w:rPr>
        <w:t>Wellington Souza</w:t>
      </w:r>
    </w:p>
    <w:p w:rsidR="00BD6F41" w:rsidP="00EE760D" w14:paraId="753F2751" w14:textId="77777777">
      <w:pPr>
        <w:spacing w:after="0" w:line="276" w:lineRule="auto"/>
        <w:jc w:val="center"/>
        <w:rPr>
          <w:rFonts w:ascii="Bookman Old Style" w:hAnsi="Bookman Old Style" w:cs="Arial"/>
          <w:sz w:val="24"/>
          <w:szCs w:val="24"/>
        </w:rPr>
        <w:sectPr w:rsidSect="00081D45">
          <w:type w:val="continuous"/>
          <w:pgSz w:w="11906" w:h="16838"/>
          <w:pgMar w:top="2127" w:right="1274" w:bottom="2127" w:left="1418" w:header="708" w:footer="708" w:gutter="0"/>
          <w:cols w:space="708"/>
          <w:docGrid w:linePitch="360"/>
        </w:sectPr>
      </w:pPr>
    </w:p>
    <w:p w:rsidR="00432D59" w:rsidRPr="002F4A2B" w:rsidP="00EE760D" w14:paraId="624AA254" w14:textId="79B75B08">
      <w:pPr>
        <w:spacing w:after="0" w:line="276" w:lineRule="auto"/>
        <w:jc w:val="center"/>
        <w:rPr>
          <w:rFonts w:ascii="Bookman Old Style" w:hAnsi="Bookman Old Style" w:cs="Arial"/>
          <w:sz w:val="24"/>
          <w:szCs w:val="24"/>
        </w:rPr>
      </w:pPr>
    </w:p>
    <w:sectPr w:rsidSect="00081D45">
      <w:type w:val="continuous"/>
      <w:pgSz w:w="11906" w:h="16838"/>
      <w:pgMar w:top="2127" w:right="1274" w:bottom="212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0A48" w14:paraId="601155C5"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0" w:name="_Hlk65226899"/>
  <w:bookmarkStart w:id="1" w:name="_Hlk65226898"/>
  <w:p w:rsidR="00C50A48" w14:paraId="6B0B4404" w14:textId="77777777">
    <w:r>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-334010</wp:posOffset>
              </wp:positionH>
              <wp:positionV relativeFrom="paragraph">
                <wp:posOffset>124460</wp:posOffset>
              </wp:positionV>
              <wp:extent cx="6236970"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2053" style="mso-height-relative:page;mso-width-relative:page;position:absolute;z-index:251660288" from="-26.3pt,9.8pt" to="464.8pt,9.8pt" coordsize="21600,21600" stroked="t" strokecolor="#5b9bd5">
              <v:stroke joinstyle="miter"/>
              <o:lock v:ext="edit" aspectratio="f"/>
            </v:line>
          </w:pict>
        </mc:Fallback>
      </mc:AlternateContent>
    </w:r>
  </w:p>
  <w:p w:rsidR="00C50A48" w14:paraId="2A3D3C93" w14:textId="77777777">
    <w:r>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0A48" w14:paraId="43F01E94"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0A48" w14:paraId="29041F61" w14:textId="77777777">
    <w:r>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2540</wp:posOffset>
              </wp:positionV>
              <wp:extent cx="7557770" cy="10270490"/>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rot="0" vert="horz" wrap="square" anchor="t" anchorCtr="0" upright="1"/>
                    </wps:wsp>
                  </wpg:wgp>
                </a:graphicData>
              </a:graphic>
            </wp:anchor>
          </w:drawing>
        </mc:Choice>
        <mc:Fallback>
          <w:pict>
            <v:group id="Agrupar 25" o:spid="_x0000_s2049" style="width:595.1pt;height:808.7pt;margin-top:0.2pt;margin-left:-68.95pt;mso-height-relative:page;mso-width-relative:page;position:absolute;z-index:-251654144" coordsize="7557712,10270358">
              <o:lock v:ext="edit" aspectratio="f"/>
              <v:shape id="Forma Livre: Forma 22" o:spid="_x0000_s2050" style="width:6583680;height:1936750;left:973776;position:absolute;top:6519554" coordsize="10368,3050" o:spt="100" adj="-11796480,,5400" path="m7983,l7730,,7555,1,7467,2,7335,2,6935,10,6612,18,6288,28,6043,37,5797,48,5665,52,5579,57,5405,65,5164,78,4697,106,4435,123,4178,141,3927,160,3681,179,3440,199,3206,220,2977,241,2756,262,2435,293,2131,325,1844,357,1575,388,1245,427,951,464,637,506,343,547,67,588,52,591,,599,,3049,75,3039,258,3010,635,2957,964,2913,1276,2873,1536,2842,1817,2809,2118,2776,2439,2742,2663,2720,2894,2697,3133,2675,3379,2653,3632,2632,3891,2611,4156,2591,4427,2572,4697,2554,5266,2521,5507,2509,5665,2502,5797,2496,5962,2489,6290,2477,6617,2467,6942,2459,7185,2454,7426,2451,7666,2449,7904,2448,8148,2449,8392,2452,8635,2456,8877,2461,9117,2468,9355,2476,9592,2486,9827,2497,10060,2509,10368,2526,10368,76,10254,69,9940,53,9622,39,9299,26,9004,15,8771,10,8458,5,8221,2,7983,xe" filled="t" fillcolor="#fee9de" stroked="f">
                <v:stroke joinstyle="miter"/>
                <v:path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o:lock v:ext="edit" aspectratio="f"/>
              </v:shape>
              <v:shape id="Forma Livre: Forma 23" o:spid="_x0000_s2051" style="width:3875405;height:7598410;position:absolute;top:2671948" coordsize="6103,11966" o:spt="100" adj="-11796480,,5400" path="m6103,l5011,51,3449,152,1789,291,,475,,11965,6103,11965,6103,9621,1105,9621,1105,6297,1475,6243,1499,6241,1514,6237,1518,6237,1538,6232,2389,6114,3455,5986,4609,5870,5691,5781,6103,5752,6103,xm6103,9070l5704,9097,4590,9190,3424,9309,2386,9436,1695,9534,1691,9537,1674,9539,1105,9621,6103,9621,6103,9070xe" filled="t" fillcolor="#e3e5f3" stroked="f">
                <v:stroke joinstyle="miter"/>
                <v:path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o:lock v:ext="edit" aspectratio="f"/>
              </v:shape>
              <v:shape id="Forma Livre: Forma 24" o:spid="_x0000_s2052" style="width:2902585;height:10264140;left:4655127;position:absolute" coordsize="4571,16164" o:spt="100" adj="-11796480,,5400" path="m4571,13229l4341,13216,4108,13204,3874,13192,3638,13182,3400,13173,3160,13166,2919,13160,2676,13155,2433,13152,2188,13151,1956,13151,1728,13152,1495,13155,1258,13159,1017,13164,773,13171,526,13179,275,13188,22,13198,,13198,,16163,4571,16163,4571,13229xm4571,l4458,2,4346,5,4234,9,4124,13,4014,19,3906,25,3798,32,3691,39,3586,47,3481,56,3377,66,3274,76,3173,87,3072,98,2972,110,2874,122,2777,135,2681,148,2586,161,2492,175,2399,190,2308,204,2218,219,2129,235,2042,250,1956,266,1871,283,1788,299,1706,315,1625,332,1546,349,1392,383,1244,417,1103,451,967,485,838,518,716,551,601,583,493,615,392,645,254,687,133,726,,770,,9885,217,9876,517,9866,835,9856,1174,9847,1538,9840,1663,9840,1738,9839,1886,9838,2248,9838,2468,9839,2701,9842,2952,9847,3223,9853,3354,9857,3740,9872,4144,9890,4485,9907,4571,9912,4571,xe" filled="t" fillcolor="#fee9de" stroked="f">
                <v:stroke joinstyle="miter"/>
                <v:path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o:lock v:ext="edit" aspectratio="f"/>
              </v:shape>
            </v:group>
          </w:pict>
        </mc:Fallback>
      </mc:AlternateContent>
    </w:r>
    <w:r>
      <w:rPr>
        <w:noProof/>
        <w:lang w:eastAsia="pt-BR"/>
      </w:rPr>
      <w:drawing>
        <wp:inline distT="0" distB="0" distL="0" distR="0">
          <wp:extent cx="1501140" cy="525145"/>
          <wp:effectExtent l="0" t="0" r="3810" b="8255"/>
          <wp:docPr id="1804036241" name="Imagem 1804036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m 20"/>
                  <pic:cNvPicPr>
                    <a:picLocks noChangeAspect="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C2D39B4"/>
    <w:multiLevelType w:val="hybridMultilevel"/>
    <w:tmpl w:val="D0B2F3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44C02D4"/>
    <w:multiLevelType w:val="hybridMultilevel"/>
    <w:tmpl w:val="B5A0441E"/>
    <w:lvl w:ilvl="0">
      <w:start w:val="1"/>
      <w:numFmt w:val="decimal"/>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406A6EBE"/>
    <w:multiLevelType w:val="hybridMultilevel"/>
    <w:tmpl w:val="A944442A"/>
    <w:lvl w:ilvl="0">
      <w:start w:val="1"/>
      <w:numFmt w:val="lowerLetter"/>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5862705A"/>
    <w:multiLevelType w:val="hybridMultilevel"/>
    <w:tmpl w:val="A1B050F2"/>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5D443E1E"/>
    <w:multiLevelType w:val="hybridMultilevel"/>
    <w:tmpl w:val="696E06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904"/>
    <w:rsid w:val="00001720"/>
    <w:rsid w:val="000124E9"/>
    <w:rsid w:val="00013D47"/>
    <w:rsid w:val="000160D4"/>
    <w:rsid w:val="00030952"/>
    <w:rsid w:val="00032314"/>
    <w:rsid w:val="00040CA6"/>
    <w:rsid w:val="00045A86"/>
    <w:rsid w:val="000615CB"/>
    <w:rsid w:val="0008023B"/>
    <w:rsid w:val="00081D45"/>
    <w:rsid w:val="00083AF9"/>
    <w:rsid w:val="00096F65"/>
    <w:rsid w:val="000A12D0"/>
    <w:rsid w:val="000A1DDE"/>
    <w:rsid w:val="000A6777"/>
    <w:rsid w:val="000A6DD9"/>
    <w:rsid w:val="000A70F0"/>
    <w:rsid w:val="000A7282"/>
    <w:rsid w:val="000B655C"/>
    <w:rsid w:val="000D588D"/>
    <w:rsid w:val="001010C0"/>
    <w:rsid w:val="001032D3"/>
    <w:rsid w:val="00122F43"/>
    <w:rsid w:val="00127833"/>
    <w:rsid w:val="00132C2E"/>
    <w:rsid w:val="00140D7F"/>
    <w:rsid w:val="001436DE"/>
    <w:rsid w:val="001449AB"/>
    <w:rsid w:val="001472AD"/>
    <w:rsid w:val="00153124"/>
    <w:rsid w:val="00154CF5"/>
    <w:rsid w:val="00171966"/>
    <w:rsid w:val="00185927"/>
    <w:rsid w:val="00190B03"/>
    <w:rsid w:val="001949D1"/>
    <w:rsid w:val="001964DD"/>
    <w:rsid w:val="001A2887"/>
    <w:rsid w:val="001C3725"/>
    <w:rsid w:val="001C5285"/>
    <w:rsid w:val="001D0ABF"/>
    <w:rsid w:val="001D2421"/>
    <w:rsid w:val="001D604F"/>
    <w:rsid w:val="001D63FF"/>
    <w:rsid w:val="001E36EF"/>
    <w:rsid w:val="001F0124"/>
    <w:rsid w:val="001F0EA4"/>
    <w:rsid w:val="001F68FA"/>
    <w:rsid w:val="00207907"/>
    <w:rsid w:val="0022396B"/>
    <w:rsid w:val="0023061B"/>
    <w:rsid w:val="00261B34"/>
    <w:rsid w:val="00265853"/>
    <w:rsid w:val="00280FE5"/>
    <w:rsid w:val="00283320"/>
    <w:rsid w:val="002A06E4"/>
    <w:rsid w:val="002A1788"/>
    <w:rsid w:val="002A7135"/>
    <w:rsid w:val="002A7DCA"/>
    <w:rsid w:val="002C2904"/>
    <w:rsid w:val="002D4332"/>
    <w:rsid w:val="002D475F"/>
    <w:rsid w:val="002D71B8"/>
    <w:rsid w:val="002D7E55"/>
    <w:rsid w:val="002E18AF"/>
    <w:rsid w:val="002E2F33"/>
    <w:rsid w:val="002E3670"/>
    <w:rsid w:val="002E5509"/>
    <w:rsid w:val="002E5FD9"/>
    <w:rsid w:val="002F4A2B"/>
    <w:rsid w:val="003110A7"/>
    <w:rsid w:val="00316B17"/>
    <w:rsid w:val="003200AC"/>
    <w:rsid w:val="00324A52"/>
    <w:rsid w:val="00334487"/>
    <w:rsid w:val="00335E9D"/>
    <w:rsid w:val="00356108"/>
    <w:rsid w:val="00357EB0"/>
    <w:rsid w:val="00362ECC"/>
    <w:rsid w:val="003662B4"/>
    <w:rsid w:val="00374801"/>
    <w:rsid w:val="00377487"/>
    <w:rsid w:val="00383D8B"/>
    <w:rsid w:val="00384769"/>
    <w:rsid w:val="00386A6C"/>
    <w:rsid w:val="00386CA5"/>
    <w:rsid w:val="00387850"/>
    <w:rsid w:val="0039235B"/>
    <w:rsid w:val="003A250A"/>
    <w:rsid w:val="003A4863"/>
    <w:rsid w:val="003B3ED5"/>
    <w:rsid w:val="003B7C93"/>
    <w:rsid w:val="003D02D3"/>
    <w:rsid w:val="003F3E32"/>
    <w:rsid w:val="003F517B"/>
    <w:rsid w:val="003F64AE"/>
    <w:rsid w:val="003F7A77"/>
    <w:rsid w:val="00402069"/>
    <w:rsid w:val="0040468C"/>
    <w:rsid w:val="004059F8"/>
    <w:rsid w:val="00413F7C"/>
    <w:rsid w:val="0042277A"/>
    <w:rsid w:val="0043023F"/>
    <w:rsid w:val="00432467"/>
    <w:rsid w:val="00432A06"/>
    <w:rsid w:val="00432D59"/>
    <w:rsid w:val="00432DF2"/>
    <w:rsid w:val="004472ED"/>
    <w:rsid w:val="00461C9B"/>
    <w:rsid w:val="00464469"/>
    <w:rsid w:val="00470C8C"/>
    <w:rsid w:val="0048381C"/>
    <w:rsid w:val="00483D1A"/>
    <w:rsid w:val="00486A7A"/>
    <w:rsid w:val="004940E5"/>
    <w:rsid w:val="004A1150"/>
    <w:rsid w:val="004A72EC"/>
    <w:rsid w:val="004B0862"/>
    <w:rsid w:val="004C0202"/>
    <w:rsid w:val="004C6503"/>
    <w:rsid w:val="004D611D"/>
    <w:rsid w:val="004E1019"/>
    <w:rsid w:val="004F43D5"/>
    <w:rsid w:val="00500584"/>
    <w:rsid w:val="00501B50"/>
    <w:rsid w:val="00517829"/>
    <w:rsid w:val="00534CE3"/>
    <w:rsid w:val="0055141F"/>
    <w:rsid w:val="005567DA"/>
    <w:rsid w:val="00557B63"/>
    <w:rsid w:val="005604F6"/>
    <w:rsid w:val="00561124"/>
    <w:rsid w:val="005863E8"/>
    <w:rsid w:val="005901D4"/>
    <w:rsid w:val="005910E9"/>
    <w:rsid w:val="005914D3"/>
    <w:rsid w:val="00596E1E"/>
    <w:rsid w:val="005A4F35"/>
    <w:rsid w:val="005B0EDC"/>
    <w:rsid w:val="005B58AE"/>
    <w:rsid w:val="005B7155"/>
    <w:rsid w:val="005D3D69"/>
    <w:rsid w:val="005D7E23"/>
    <w:rsid w:val="005E0BE4"/>
    <w:rsid w:val="005E1C4F"/>
    <w:rsid w:val="005F741A"/>
    <w:rsid w:val="00600BB2"/>
    <w:rsid w:val="00602281"/>
    <w:rsid w:val="0060298E"/>
    <w:rsid w:val="0060397B"/>
    <w:rsid w:val="00616F0F"/>
    <w:rsid w:val="006173F3"/>
    <w:rsid w:val="0063447F"/>
    <w:rsid w:val="00640A0D"/>
    <w:rsid w:val="00652DAC"/>
    <w:rsid w:val="006549D1"/>
    <w:rsid w:val="00673B3C"/>
    <w:rsid w:val="00674C9D"/>
    <w:rsid w:val="006905C5"/>
    <w:rsid w:val="0069275C"/>
    <w:rsid w:val="00697D7D"/>
    <w:rsid w:val="00697F1C"/>
    <w:rsid w:val="006B2995"/>
    <w:rsid w:val="006E2721"/>
    <w:rsid w:val="00702FC6"/>
    <w:rsid w:val="00715E51"/>
    <w:rsid w:val="00733E4D"/>
    <w:rsid w:val="00750A27"/>
    <w:rsid w:val="00755F6C"/>
    <w:rsid w:val="007738E5"/>
    <w:rsid w:val="0077556B"/>
    <w:rsid w:val="00775E4C"/>
    <w:rsid w:val="00776CC0"/>
    <w:rsid w:val="007926C7"/>
    <w:rsid w:val="007928A5"/>
    <w:rsid w:val="00794432"/>
    <w:rsid w:val="007958F3"/>
    <w:rsid w:val="007B2204"/>
    <w:rsid w:val="007F3E4B"/>
    <w:rsid w:val="00813B05"/>
    <w:rsid w:val="00820DB4"/>
    <w:rsid w:val="00825EB2"/>
    <w:rsid w:val="00826306"/>
    <w:rsid w:val="00845525"/>
    <w:rsid w:val="00847CF2"/>
    <w:rsid w:val="00855670"/>
    <w:rsid w:val="00863070"/>
    <w:rsid w:val="00866463"/>
    <w:rsid w:val="00872A68"/>
    <w:rsid w:val="00876D02"/>
    <w:rsid w:val="008815E6"/>
    <w:rsid w:val="008849A6"/>
    <w:rsid w:val="00890144"/>
    <w:rsid w:val="008A4E03"/>
    <w:rsid w:val="008A550D"/>
    <w:rsid w:val="008A5A55"/>
    <w:rsid w:val="008C1011"/>
    <w:rsid w:val="008E2449"/>
    <w:rsid w:val="008F111C"/>
    <w:rsid w:val="008F29CE"/>
    <w:rsid w:val="008F5D7B"/>
    <w:rsid w:val="00903DB5"/>
    <w:rsid w:val="009124B0"/>
    <w:rsid w:val="00914456"/>
    <w:rsid w:val="009147B0"/>
    <w:rsid w:val="00915CC1"/>
    <w:rsid w:val="00917759"/>
    <w:rsid w:val="00935ACF"/>
    <w:rsid w:val="00937574"/>
    <w:rsid w:val="0094157F"/>
    <w:rsid w:val="00963EC1"/>
    <w:rsid w:val="00993940"/>
    <w:rsid w:val="00995303"/>
    <w:rsid w:val="009A3C46"/>
    <w:rsid w:val="009A61A6"/>
    <w:rsid w:val="009B3512"/>
    <w:rsid w:val="009B3B97"/>
    <w:rsid w:val="009C2B91"/>
    <w:rsid w:val="009C679C"/>
    <w:rsid w:val="009D0513"/>
    <w:rsid w:val="00A00565"/>
    <w:rsid w:val="00A01D59"/>
    <w:rsid w:val="00A1227D"/>
    <w:rsid w:val="00A35660"/>
    <w:rsid w:val="00A53699"/>
    <w:rsid w:val="00A56264"/>
    <w:rsid w:val="00A7144C"/>
    <w:rsid w:val="00A74DE6"/>
    <w:rsid w:val="00A837AD"/>
    <w:rsid w:val="00A92B27"/>
    <w:rsid w:val="00A96012"/>
    <w:rsid w:val="00AD626C"/>
    <w:rsid w:val="00AE0542"/>
    <w:rsid w:val="00B17F0F"/>
    <w:rsid w:val="00B2099D"/>
    <w:rsid w:val="00B23E15"/>
    <w:rsid w:val="00B24DB6"/>
    <w:rsid w:val="00B26963"/>
    <w:rsid w:val="00B36876"/>
    <w:rsid w:val="00B4025B"/>
    <w:rsid w:val="00B61CCA"/>
    <w:rsid w:val="00B64403"/>
    <w:rsid w:val="00B7537E"/>
    <w:rsid w:val="00B8028E"/>
    <w:rsid w:val="00B93B26"/>
    <w:rsid w:val="00B93DA9"/>
    <w:rsid w:val="00BA179C"/>
    <w:rsid w:val="00BC78D3"/>
    <w:rsid w:val="00BD5BE6"/>
    <w:rsid w:val="00BD6F41"/>
    <w:rsid w:val="00BE21EB"/>
    <w:rsid w:val="00BF3917"/>
    <w:rsid w:val="00C01EB5"/>
    <w:rsid w:val="00C0684C"/>
    <w:rsid w:val="00C24091"/>
    <w:rsid w:val="00C301C1"/>
    <w:rsid w:val="00C30573"/>
    <w:rsid w:val="00C37CB2"/>
    <w:rsid w:val="00C50A48"/>
    <w:rsid w:val="00C870F3"/>
    <w:rsid w:val="00C8777A"/>
    <w:rsid w:val="00C96DCB"/>
    <w:rsid w:val="00CA5D02"/>
    <w:rsid w:val="00CC1C75"/>
    <w:rsid w:val="00CC467C"/>
    <w:rsid w:val="00CC5150"/>
    <w:rsid w:val="00CD2940"/>
    <w:rsid w:val="00CE1914"/>
    <w:rsid w:val="00CE502E"/>
    <w:rsid w:val="00CE621F"/>
    <w:rsid w:val="00D0339D"/>
    <w:rsid w:val="00D04894"/>
    <w:rsid w:val="00D27281"/>
    <w:rsid w:val="00D27F6B"/>
    <w:rsid w:val="00D42902"/>
    <w:rsid w:val="00D4299B"/>
    <w:rsid w:val="00D53039"/>
    <w:rsid w:val="00D5536B"/>
    <w:rsid w:val="00D55DAD"/>
    <w:rsid w:val="00D5716B"/>
    <w:rsid w:val="00D57AAE"/>
    <w:rsid w:val="00D62E08"/>
    <w:rsid w:val="00D665A1"/>
    <w:rsid w:val="00D760D3"/>
    <w:rsid w:val="00D8249F"/>
    <w:rsid w:val="00D87490"/>
    <w:rsid w:val="00D914B1"/>
    <w:rsid w:val="00DA2504"/>
    <w:rsid w:val="00DA2E3A"/>
    <w:rsid w:val="00DA5257"/>
    <w:rsid w:val="00DF777C"/>
    <w:rsid w:val="00E029E1"/>
    <w:rsid w:val="00E16895"/>
    <w:rsid w:val="00E207DC"/>
    <w:rsid w:val="00E32337"/>
    <w:rsid w:val="00E36611"/>
    <w:rsid w:val="00E40440"/>
    <w:rsid w:val="00E456AE"/>
    <w:rsid w:val="00E504CB"/>
    <w:rsid w:val="00E51A40"/>
    <w:rsid w:val="00E54AC6"/>
    <w:rsid w:val="00E74CD4"/>
    <w:rsid w:val="00E839B4"/>
    <w:rsid w:val="00E93D96"/>
    <w:rsid w:val="00E978A3"/>
    <w:rsid w:val="00EA6EE7"/>
    <w:rsid w:val="00EC7BD0"/>
    <w:rsid w:val="00EE760D"/>
    <w:rsid w:val="00F25BA2"/>
    <w:rsid w:val="00F31243"/>
    <w:rsid w:val="00F32888"/>
    <w:rsid w:val="00F44AD5"/>
    <w:rsid w:val="00F53658"/>
    <w:rsid w:val="00F65714"/>
    <w:rsid w:val="00F70775"/>
    <w:rsid w:val="00F71679"/>
    <w:rsid w:val="00FA2F73"/>
    <w:rsid w:val="00FB4893"/>
    <w:rsid w:val="00FB6C80"/>
    <w:rsid w:val="00FD2E58"/>
    <w:rsid w:val="00FE0FB3"/>
    <w:rsid w:val="00FE14DB"/>
    <w:rsid w:val="00FE2555"/>
    <w:rsid w:val="00FF19FB"/>
    <w:rsid w:val="00FF2FF9"/>
    <w:rsid w:val="19CD5373"/>
    <w:rsid w:val="1D5077E9"/>
    <w:rsid w:val="28411795"/>
    <w:rsid w:val="75683E93"/>
  </w:rsids>
  <m:mathPr>
    <m:mathFont m:val="Cambria Math"/>
  </m:mathPr>
  <w:themeFontLang w:val="pt-BR" w:eastAsia="zh-CN"/>
  <w:clrSchemeMapping w:bg1="light1" w:t1="dark1" w:bg2="light2" w:t2="dark2" w:accent1="accent1" w:accent2="accent2" w:accent3="accent3" w:accent4="accent4" w:accent5="accent5" w:accent6="accent6" w:hyperlink="hyperlink" w:followedHyperlink="followedHyperlink"/>
  <w15:docId w15:val="{ACF33DF1-DBE2-4C8D-B451-C9BDBCA74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iPriority="34"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qFormat/>
    <w:rPr>
      <w:rFonts w:ascii="Times New Roman" w:hAnsi="Times New Roman" w:cs="Times New Roman"/>
      <w:sz w:val="24"/>
      <w:szCs w:val="24"/>
    </w:rPr>
  </w:style>
  <w:style w:type="paragraph" w:customStyle="1" w:styleId="Standarduser">
    <w:name w:val="Standard (user)"/>
    <w:qFormat/>
    <w:pPr>
      <w:suppressAutoHyphens/>
      <w:autoSpaceDN w:val="0"/>
    </w:pPr>
    <w:rPr>
      <w:rFonts w:ascii="Liberation Serif" w:eastAsia="SimSun" w:hAnsi="Liberation Serif" w:cs="Lucida Sans"/>
      <w:kern w:val="3"/>
      <w:sz w:val="24"/>
      <w:szCs w:val="24"/>
      <w:lang w:eastAsia="zh-CN" w:bidi="hi-IN"/>
    </w:rPr>
  </w:style>
  <w:style w:type="paragraph" w:styleId="ListParagraph">
    <w:name w:val="List Paragraph"/>
    <w:basedOn w:val="Normal"/>
    <w:uiPriority w:val="34"/>
    <w:qFormat/>
    <w:rsid w:val="00153124"/>
    <w:pPr>
      <w:ind w:left="720"/>
      <w:contextualSpacing/>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emf" /><Relationship Id="rId7" Type="http://schemas.openxmlformats.org/officeDocument/2006/relationships/oleObject" Target="embeddings/oleObject1.bin" /><Relationship Id="rId8" Type="http://schemas.openxmlformats.org/officeDocument/2006/relationships/header" Target="header1.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C6A5F49-020C-4192-8EEA-2FEFB33A6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9</Pages>
  <Words>1811</Words>
  <Characters>9785</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Gabinete 08 - Rai do Paraiso</dc:creator>
  <cp:lastModifiedBy>Yago Bueno</cp:lastModifiedBy>
  <cp:revision>52</cp:revision>
  <dcterms:created xsi:type="dcterms:W3CDTF">2026-06-18T13:46:00Z</dcterms:created>
  <dcterms:modified xsi:type="dcterms:W3CDTF">2026-06-22T17:53:00Z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CB56BDBD46A645A5901084BE170053A0_12</vt:lpwstr>
  </property>
  <property fmtid="{D5CDD505-2E9C-101B-9397-08002B2CF9AE}" pid="3" name="KSOProductBuildVer">
    <vt:lpwstr>1046-12.1.0.26372</vt:lpwstr>
  </property>
  <property fmtid="{D5CDD505-2E9C-101B-9397-08002B2CF9AE}" pid="4" name="KSOTemplateDocerSaveRecord">
    <vt:lpwstr>eyJoZGlkIjoiYjFmZTdkZDE4NGY0ZTAzMjBhMGE2ZDc3YzMwZmU4ZjkifQ==</vt:lpwstr>
  </property>
</Properties>
</file>