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6CC03F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10D09">
        <w:rPr>
          <w:sz w:val="28"/>
          <w:szCs w:val="28"/>
        </w:rPr>
        <w:t xml:space="preserve">operação </w:t>
      </w:r>
      <w:r w:rsidR="009714AF">
        <w:rPr>
          <w:sz w:val="28"/>
          <w:szCs w:val="28"/>
        </w:rPr>
        <w:t xml:space="preserve">cata </w:t>
      </w:r>
      <w:r w:rsidR="00F5629E">
        <w:rPr>
          <w:sz w:val="28"/>
          <w:szCs w:val="28"/>
        </w:rPr>
        <w:t>treco na Rua Jacinto Mario Mazon, 1</w:t>
      </w:r>
      <w:r w:rsidR="007B0516">
        <w:rPr>
          <w:sz w:val="28"/>
          <w:szCs w:val="28"/>
        </w:rPr>
        <w:t>08</w:t>
      </w:r>
      <w:r w:rsidR="00F5629E">
        <w:rPr>
          <w:sz w:val="28"/>
          <w:szCs w:val="28"/>
        </w:rPr>
        <w:t xml:space="preserve"> – Parque Virgílio Viel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13047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1AF3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2026-06-18T13:38:00Z</dcterms:created>
  <dcterms:modified xsi:type="dcterms:W3CDTF">2026-06-18T13:38:00Z</dcterms:modified>
</cp:coreProperties>
</file>