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Desafeta da classe de bens de uso comum do povo e autoriza o Prefeito Municipal a alienar , por investidura, área municipal que menciona.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