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100/2026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as Diretrizes Orçamentarias (LDO) para o exercício financeiro de 2027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