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969213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F34D16">
        <w:rPr>
          <w:sz w:val="28"/>
          <w:szCs w:val="28"/>
        </w:rPr>
        <w:t xml:space="preserve">cata </w:t>
      </w:r>
      <w:r w:rsidR="00CC05F9">
        <w:rPr>
          <w:sz w:val="28"/>
          <w:szCs w:val="28"/>
        </w:rPr>
        <w:t>galho</w:t>
      </w:r>
      <w:r w:rsidR="00F34D16">
        <w:rPr>
          <w:sz w:val="28"/>
          <w:szCs w:val="28"/>
        </w:rPr>
        <w:t xml:space="preserve"> na Rua Treze, 2</w:t>
      </w:r>
      <w:r w:rsidR="00CC05F9">
        <w:rPr>
          <w:sz w:val="28"/>
          <w:szCs w:val="28"/>
        </w:rPr>
        <w:t>6</w:t>
      </w:r>
      <w:r w:rsidR="00F34D16">
        <w:rPr>
          <w:sz w:val="28"/>
          <w:szCs w:val="28"/>
        </w:rPr>
        <w:t>4 – Parque Jatobá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805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40BA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2026-05-28T12:29:00Z</dcterms:created>
  <dcterms:modified xsi:type="dcterms:W3CDTF">2026-05-28T12:29:00Z</dcterms:modified>
</cp:coreProperties>
</file>