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4391F2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4D67FE">
        <w:rPr>
          <w:sz w:val="28"/>
          <w:szCs w:val="28"/>
        </w:rPr>
        <w:t>cata treco</w:t>
      </w:r>
      <w:r w:rsidR="00683482">
        <w:rPr>
          <w:sz w:val="28"/>
          <w:szCs w:val="28"/>
        </w:rPr>
        <w:t xml:space="preserve"> na </w:t>
      </w:r>
      <w:r w:rsidR="00C65A52">
        <w:rPr>
          <w:sz w:val="28"/>
          <w:szCs w:val="28"/>
        </w:rPr>
        <w:t>Rua Margarida Dias de Sá Jatobá, 2</w:t>
      </w:r>
      <w:r w:rsidR="004D67FE">
        <w:rPr>
          <w:sz w:val="28"/>
          <w:szCs w:val="28"/>
        </w:rPr>
        <w:t>32</w:t>
      </w:r>
      <w:r w:rsidR="00C65A52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02776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472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35F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2026-05-28T12:24:00Z</dcterms:created>
  <dcterms:modified xsi:type="dcterms:W3CDTF">2026-05-28T12:24:00Z</dcterms:modified>
</cp:coreProperties>
</file>