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136/2026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ARTIGO 1º DA LEI MUNICIPAL Nº 6.398, DE 2 DE SETEMBRO DE 2020, PARA INCLUIR EXPRESSAMENTE OS PONTOS DE ÔNIBUS ENTRE OS LOCAIS VEDADOS À FIXAÇÃO DE PROPAGANDAS.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