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 ARTIGO 1º DA LEI MUNICIPAL Nº 6.398, DE 2 DE SETEMBRO DE 2020, PARA INCLUIR EXPRESSAMENTE OS PONTOS DE ÔNIBUS ENTRE OS LOCAIS VEDADOS À FIXAÇÃO DE PROPAGANDAS.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