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137/2026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 autorização ao executivo municipal para promover a abertura de crédito adicional suplementar no orçamento vigente no valor de R$3.000,000,00 (três milhões de reais),  para os fins que especifica e dá outras providências.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19 de maio de 2026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