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137/2026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autorização ao executivo municipal para promover a abertura de crédito adicional suplementar no orçamento vigente no valor de R$3.000,000,00 (três milhões de reais), 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maio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