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134/2026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a redação do inciso II do artigo 45 da Lei Municipal nº 7.225, de 20 de dezembro de 2023, alterada pela Lei Municipal nº 7.578, de 11 de fevereiro de 2026.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