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redação do inciso II do artigo 45 da Lei Municipal nº 7.225, de 20 de dezembro de 2023, alterada pela Lei Municipal nº 7.578, de 11 de fevereiro de 2026.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