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131/2026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autorização ao executivo municipal para promover a abertura de crédito adicional suplementar no orçamento vigente no valor de R$2.194.844,93 (dois milhões, cento e noventa e quatro mil, oitocentos e quarenta e quatro reais e noventa e três centavos),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maio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