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responsabilidade das concessionárias e permissionárias de realizar a retirada de fios e cabos em desuso e a organização da fiação aérea nos postes do Município de Sumaré, com tratamento especial para áreas de valor ambiental, histórico ou paisagístico.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