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128/2026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autorização ao executivo municipal para promover a abertura de crédito adicional especial no orçamento vigente no valor de R$ 1.248.205,94 (um milhão, duzentos e quarenta e oito mil, duzentos e cinco reais e noventa e quatro centavos)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12 de maio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