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126/2026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autorização ao executivo municipal para promover a abertura de crédito adicional especial no orçamento vigente no valor de R$ 232.870,04 (duzentos e trinta e dois mil, oitocentos e setenta reais e quatro centavos)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maio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