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exclusão de benefícios financeiros ou isenções de taxas ou impostos, de pessoas condenadas por crimes de violência sexual, psicológica ou tortura contra crianças e adolescentes,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