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57454" w:rsidRPr="001B1CCA" w:rsidP="003A4B5F" w14:paraId="17D03E9E" w14:textId="52FA9CFD">
      <w:pPr>
        <w:spacing w:line="240" w:lineRule="auto"/>
        <w:ind w:firstLine="709"/>
        <w:jc w:val="both"/>
        <w:rPr>
          <w:rFonts w:cstheme="minorHAnsi"/>
          <w:b/>
          <w:bCs/>
        </w:rPr>
      </w:pPr>
      <w:permStart w:id="0" w:edGrp="everyone"/>
      <w:r w:rsidRPr="001B1CCA">
        <w:rPr>
          <w:rFonts w:cstheme="minorHAnsi"/>
          <w:b/>
          <w:bCs/>
        </w:rPr>
        <w:t>.</w:t>
      </w:r>
    </w:p>
    <w:p w:rsidR="00AE4B08" w:rsidP="00AE4B08" w14:paraId="5A1DA883" w14:textId="03691139">
      <w:pPr>
        <w:spacing w:line="240" w:lineRule="auto"/>
        <w:ind w:firstLine="709"/>
        <w:jc w:val="both"/>
        <w:rPr>
          <w:rFonts w:cstheme="minorHAnsi"/>
          <w:b/>
          <w:bCs/>
          <w:sz w:val="28"/>
          <w:szCs w:val="28"/>
        </w:rPr>
      </w:pPr>
      <w:r w:rsidRPr="001B1CCA">
        <w:rPr>
          <w:rFonts w:cstheme="minorHAnsi"/>
          <w:b/>
          <w:bCs/>
        </w:rPr>
        <w:t xml:space="preserve"> </w:t>
      </w:r>
      <w:r w:rsidRPr="00AE4B08">
        <w:rPr>
          <w:rFonts w:cstheme="minorHAnsi"/>
          <w:b/>
          <w:bCs/>
          <w:sz w:val="28"/>
          <w:szCs w:val="28"/>
        </w:rPr>
        <w:t xml:space="preserve">  </w:t>
      </w:r>
      <w:r w:rsidRPr="00AE4B08">
        <w:rPr>
          <w:rFonts w:cstheme="minorHAnsi"/>
          <w:b/>
          <w:bCs/>
          <w:sz w:val="28"/>
          <w:szCs w:val="28"/>
        </w:rPr>
        <w:t>PROJETO DE LEI Nº ____/202</w:t>
      </w:r>
      <w:r w:rsidR="00F63B0A">
        <w:rPr>
          <w:rFonts w:cstheme="minorHAnsi"/>
          <w:b/>
          <w:bCs/>
          <w:sz w:val="28"/>
          <w:szCs w:val="28"/>
        </w:rPr>
        <w:t>6</w:t>
      </w:r>
    </w:p>
    <w:p w:rsidR="000476D9" w:rsidRPr="000476D9" w:rsidP="000476D9" w14:paraId="64B071AF" w14:textId="77777777">
      <w:pPr>
        <w:spacing w:line="240" w:lineRule="auto"/>
        <w:ind w:firstLine="709"/>
        <w:rPr>
          <w:rFonts w:cstheme="minorHAnsi"/>
          <w:b/>
          <w:bCs/>
          <w:sz w:val="24"/>
          <w:szCs w:val="24"/>
        </w:rPr>
      </w:pPr>
      <w:r w:rsidRPr="000476D9">
        <w:rPr>
          <w:rFonts w:cstheme="minorHAnsi"/>
          <w:b/>
          <w:bCs/>
          <w:sz w:val="24"/>
          <w:szCs w:val="24"/>
        </w:rPr>
        <w:t>Dispõe sobre a exclusão de benefícios financeiros ou isenções de taxas ou impostos, no âmbito do Município de Sumaré, de pessoas condenadas por crimes de violência sexual, psicológica ou tortura contra crianças e adolescentes, e dá outras providências.</w:t>
      </w:r>
    </w:p>
    <w:p w:rsidR="000476D9" w:rsidRPr="000476D9" w:rsidP="000476D9" w14:paraId="600626B5" w14:textId="77777777">
      <w:pPr>
        <w:spacing w:line="240" w:lineRule="auto"/>
        <w:ind w:firstLine="709"/>
        <w:rPr>
          <w:rFonts w:cstheme="minorHAnsi"/>
          <w:sz w:val="24"/>
          <w:szCs w:val="24"/>
        </w:rPr>
      </w:pPr>
      <w:r w:rsidRPr="000476D9">
        <w:rPr>
          <w:rFonts w:cstheme="minorHAnsi"/>
          <w:sz w:val="24"/>
          <w:szCs w:val="24"/>
        </w:rPr>
        <w:t>A Câmara Municipal de Sumaré decreta:</w:t>
      </w:r>
    </w:p>
    <w:p w:rsidR="000476D9" w:rsidRPr="000476D9" w:rsidP="000476D9" w14:paraId="6707C950" w14:textId="77777777">
      <w:pPr>
        <w:spacing w:line="240" w:lineRule="auto"/>
        <w:ind w:firstLine="709"/>
        <w:rPr>
          <w:rFonts w:cstheme="minorHAnsi"/>
          <w:b/>
          <w:bCs/>
          <w:sz w:val="24"/>
          <w:szCs w:val="24"/>
        </w:rPr>
      </w:pPr>
      <w:r w:rsidRPr="000476D9">
        <w:rPr>
          <w:rFonts w:cstheme="minorHAnsi"/>
          <w:b/>
          <w:bCs/>
          <w:sz w:val="24"/>
          <w:szCs w:val="24"/>
        </w:rPr>
        <w:t>Art. 1º</w:t>
      </w:r>
    </w:p>
    <w:p w:rsidR="000476D9" w:rsidRPr="000476D9" w:rsidP="000476D9" w14:paraId="30C300EB" w14:textId="77777777">
      <w:pPr>
        <w:spacing w:line="240" w:lineRule="auto"/>
        <w:ind w:firstLine="709"/>
        <w:rPr>
          <w:rFonts w:cstheme="minorHAnsi"/>
          <w:sz w:val="24"/>
          <w:szCs w:val="24"/>
        </w:rPr>
      </w:pPr>
      <w:r w:rsidRPr="000476D9">
        <w:rPr>
          <w:rFonts w:cstheme="minorHAnsi"/>
          <w:sz w:val="24"/>
          <w:szCs w:val="24"/>
        </w:rPr>
        <w:t>Fica vedada a concessão, bem como determinada a imediata exclusão de benefícios financeiros, auxílios, incentivos fiscais, isenções de taxas ou impostos, mantidos pela Administração Pública Municipal de Sumaré, às pessoas que tenham sido condenadas, por decisão judicial transitada em julgado, pela prática de crimes de violência sexual, psicológica ou tortura contra crianças e adolescentes.</w:t>
      </w:r>
    </w:p>
    <w:p w:rsidR="000476D9" w:rsidRPr="000476D9" w:rsidP="000476D9" w14:paraId="4406FEB4" w14:textId="77777777">
      <w:pPr>
        <w:spacing w:line="240" w:lineRule="auto"/>
        <w:ind w:firstLine="709"/>
        <w:rPr>
          <w:rFonts w:cstheme="minorHAnsi"/>
          <w:sz w:val="24"/>
          <w:szCs w:val="24"/>
        </w:rPr>
      </w:pPr>
      <w:r>
        <w:rPr>
          <w:rFonts w:cstheme="minorHAnsi"/>
          <w:sz w:val="24"/>
          <w:szCs w:val="24"/>
        </w:rPr>
        <w:pict>
          <v:rect id="_x0000_i1025" style="width:0;height:1.5pt" o:hralign="center" o:hrstd="t" o:hr="t" fillcolor="#a0a0a0" stroked="f"/>
        </w:pict>
      </w:r>
    </w:p>
    <w:p w:rsidR="000476D9" w:rsidRPr="000476D9" w:rsidP="000476D9" w14:paraId="5B66163B" w14:textId="77777777">
      <w:pPr>
        <w:spacing w:line="240" w:lineRule="auto"/>
        <w:ind w:firstLine="709"/>
        <w:rPr>
          <w:rFonts w:cstheme="minorHAnsi"/>
          <w:b/>
          <w:bCs/>
          <w:sz w:val="24"/>
          <w:szCs w:val="24"/>
        </w:rPr>
      </w:pPr>
      <w:r w:rsidRPr="000476D9">
        <w:rPr>
          <w:rFonts w:cstheme="minorHAnsi"/>
          <w:b/>
          <w:bCs/>
          <w:sz w:val="24"/>
          <w:szCs w:val="24"/>
        </w:rPr>
        <w:t>Art. 2º</w:t>
      </w:r>
    </w:p>
    <w:p w:rsidR="000476D9" w:rsidRPr="000476D9" w:rsidP="000476D9" w14:paraId="766FC347" w14:textId="77777777">
      <w:pPr>
        <w:spacing w:line="240" w:lineRule="auto"/>
        <w:ind w:firstLine="709"/>
        <w:rPr>
          <w:rFonts w:cstheme="minorHAnsi"/>
          <w:sz w:val="24"/>
          <w:szCs w:val="24"/>
        </w:rPr>
      </w:pPr>
      <w:r w:rsidRPr="000476D9">
        <w:rPr>
          <w:rFonts w:cstheme="minorHAnsi"/>
          <w:sz w:val="24"/>
          <w:szCs w:val="24"/>
        </w:rPr>
        <w:t>Para os fins desta Lei, consideram-se crimes contra crianças e adolescentes:</w:t>
      </w:r>
    </w:p>
    <w:p w:rsidR="000476D9" w:rsidRPr="000476D9" w:rsidP="000476D9" w14:paraId="38A35F93" w14:textId="77777777">
      <w:pPr>
        <w:spacing w:line="240" w:lineRule="auto"/>
        <w:ind w:firstLine="709"/>
        <w:rPr>
          <w:rFonts w:cstheme="minorHAnsi"/>
          <w:sz w:val="24"/>
          <w:szCs w:val="24"/>
        </w:rPr>
      </w:pPr>
      <w:r w:rsidRPr="000476D9">
        <w:rPr>
          <w:rFonts w:cstheme="minorHAnsi"/>
          <w:sz w:val="24"/>
          <w:szCs w:val="24"/>
        </w:rPr>
        <w:t xml:space="preserve">I – </w:t>
      </w:r>
      <w:r w:rsidRPr="000476D9">
        <w:rPr>
          <w:rFonts w:cstheme="minorHAnsi"/>
          <w:sz w:val="24"/>
          <w:szCs w:val="24"/>
        </w:rPr>
        <w:t>os</w:t>
      </w:r>
      <w:r w:rsidRPr="000476D9">
        <w:rPr>
          <w:rFonts w:cstheme="minorHAnsi"/>
          <w:sz w:val="24"/>
          <w:szCs w:val="24"/>
        </w:rPr>
        <w:t xml:space="preserve"> crimes contra a dignidade sexual previstos no Título VI da Parte Especial do Código Penal Brasileiro;</w:t>
      </w:r>
    </w:p>
    <w:p w:rsidR="000476D9" w:rsidRPr="000476D9" w:rsidP="000476D9" w14:paraId="6E9649B7" w14:textId="77777777">
      <w:pPr>
        <w:spacing w:line="240" w:lineRule="auto"/>
        <w:ind w:firstLine="709"/>
        <w:rPr>
          <w:rFonts w:cstheme="minorHAnsi"/>
          <w:sz w:val="24"/>
          <w:szCs w:val="24"/>
        </w:rPr>
      </w:pPr>
      <w:r w:rsidRPr="000476D9">
        <w:rPr>
          <w:rFonts w:cstheme="minorHAnsi"/>
          <w:sz w:val="24"/>
          <w:szCs w:val="24"/>
        </w:rPr>
        <w:t xml:space="preserve">II – </w:t>
      </w:r>
      <w:r w:rsidRPr="000476D9">
        <w:rPr>
          <w:rFonts w:cstheme="minorHAnsi"/>
          <w:sz w:val="24"/>
          <w:szCs w:val="24"/>
        </w:rPr>
        <w:t>a</w:t>
      </w:r>
      <w:r w:rsidRPr="000476D9">
        <w:rPr>
          <w:rFonts w:cstheme="minorHAnsi"/>
          <w:sz w:val="24"/>
          <w:szCs w:val="24"/>
        </w:rPr>
        <w:t xml:space="preserve"> violência psicológica, conforme definida na Lei nº 13.431 de 2017;</w:t>
      </w:r>
    </w:p>
    <w:p w:rsidR="000476D9" w:rsidRPr="000476D9" w:rsidP="000476D9" w14:paraId="1696DDFB" w14:textId="77777777">
      <w:pPr>
        <w:spacing w:line="240" w:lineRule="auto"/>
        <w:ind w:firstLine="709"/>
        <w:rPr>
          <w:rFonts w:cstheme="minorHAnsi"/>
          <w:sz w:val="24"/>
          <w:szCs w:val="24"/>
        </w:rPr>
      </w:pPr>
      <w:r w:rsidRPr="000476D9">
        <w:rPr>
          <w:rFonts w:cstheme="minorHAnsi"/>
          <w:sz w:val="24"/>
          <w:szCs w:val="24"/>
        </w:rPr>
        <w:t>III – o crime de tortura, previsto na Lei nº 9.455 de 1997.</w:t>
      </w:r>
    </w:p>
    <w:p w:rsidR="000476D9" w:rsidRPr="000476D9" w:rsidP="000476D9" w14:paraId="34CE9A43" w14:textId="77777777">
      <w:pPr>
        <w:spacing w:line="240" w:lineRule="auto"/>
        <w:ind w:firstLine="709"/>
        <w:rPr>
          <w:rFonts w:cstheme="minorHAnsi"/>
          <w:sz w:val="24"/>
          <w:szCs w:val="24"/>
        </w:rPr>
      </w:pPr>
      <w:r>
        <w:rPr>
          <w:rFonts w:cstheme="minorHAnsi"/>
          <w:sz w:val="24"/>
          <w:szCs w:val="24"/>
        </w:rPr>
        <w:pict>
          <v:rect id="_x0000_i1026" style="width:0;height:1.5pt" o:hralign="center" o:hrstd="t" o:hr="t" fillcolor="#a0a0a0" stroked="f"/>
        </w:pict>
      </w:r>
    </w:p>
    <w:p w:rsidR="000476D9" w:rsidRPr="000476D9" w:rsidP="000476D9" w14:paraId="7500B907" w14:textId="77777777">
      <w:pPr>
        <w:spacing w:line="240" w:lineRule="auto"/>
        <w:ind w:firstLine="709"/>
        <w:rPr>
          <w:rFonts w:cstheme="minorHAnsi"/>
          <w:b/>
          <w:bCs/>
          <w:sz w:val="24"/>
          <w:szCs w:val="24"/>
        </w:rPr>
      </w:pPr>
      <w:r w:rsidRPr="000476D9">
        <w:rPr>
          <w:rFonts w:cstheme="minorHAnsi"/>
          <w:b/>
          <w:bCs/>
          <w:sz w:val="24"/>
          <w:szCs w:val="24"/>
        </w:rPr>
        <w:t>Art. 3º</w:t>
      </w:r>
    </w:p>
    <w:p w:rsidR="000476D9" w:rsidRPr="000476D9" w:rsidP="000476D9" w14:paraId="37C746B1" w14:textId="77777777">
      <w:pPr>
        <w:spacing w:line="240" w:lineRule="auto"/>
        <w:ind w:firstLine="709"/>
        <w:rPr>
          <w:rFonts w:cstheme="minorHAnsi"/>
          <w:sz w:val="24"/>
          <w:szCs w:val="24"/>
        </w:rPr>
      </w:pPr>
      <w:r w:rsidRPr="000476D9">
        <w:rPr>
          <w:rFonts w:cstheme="minorHAnsi"/>
          <w:sz w:val="24"/>
          <w:szCs w:val="24"/>
        </w:rPr>
        <w:t>A exclusão de benefícios, auxílios e incentivos fiscais de que trata o Art. 1º, bem como isenções de taxas e impostos municipais, tais como IPTU, ISS e outros que venham a ser instituídos ou que os substituam, será aplicada em caráter definitivo.</w:t>
      </w:r>
    </w:p>
    <w:p w:rsidR="000476D9" w:rsidRPr="000476D9" w:rsidP="000476D9" w14:paraId="72EFC598" w14:textId="77777777">
      <w:pPr>
        <w:spacing w:line="240" w:lineRule="auto"/>
        <w:ind w:firstLine="709"/>
        <w:rPr>
          <w:rFonts w:cstheme="minorHAnsi"/>
          <w:sz w:val="24"/>
          <w:szCs w:val="24"/>
        </w:rPr>
      </w:pPr>
      <w:r>
        <w:rPr>
          <w:rFonts w:cstheme="minorHAnsi"/>
          <w:sz w:val="24"/>
          <w:szCs w:val="24"/>
        </w:rPr>
        <w:pict>
          <v:rect id="_x0000_i1027" style="width:0;height:1.5pt" o:hralign="center" o:hrstd="t" o:hr="t" fillcolor="#a0a0a0" stroked="f"/>
        </w:pict>
      </w:r>
    </w:p>
    <w:p w:rsidR="000476D9" w:rsidRPr="000476D9" w:rsidP="000476D9" w14:paraId="737C5B7E" w14:textId="77777777">
      <w:pPr>
        <w:spacing w:line="240" w:lineRule="auto"/>
        <w:ind w:firstLine="709"/>
        <w:rPr>
          <w:rFonts w:cstheme="minorHAnsi"/>
          <w:b/>
          <w:bCs/>
          <w:sz w:val="24"/>
          <w:szCs w:val="24"/>
        </w:rPr>
      </w:pPr>
      <w:r w:rsidRPr="000476D9">
        <w:rPr>
          <w:rFonts w:cstheme="minorHAnsi"/>
          <w:b/>
          <w:bCs/>
          <w:sz w:val="24"/>
          <w:szCs w:val="24"/>
        </w:rPr>
        <w:t>Art. 4º</w:t>
      </w:r>
    </w:p>
    <w:p w:rsidR="000476D9" w:rsidRPr="000476D9" w:rsidP="000476D9" w14:paraId="04CED39C" w14:textId="77777777">
      <w:pPr>
        <w:spacing w:line="240" w:lineRule="auto"/>
        <w:ind w:firstLine="709"/>
        <w:rPr>
          <w:rFonts w:cstheme="minorHAnsi"/>
          <w:sz w:val="24"/>
          <w:szCs w:val="24"/>
        </w:rPr>
      </w:pPr>
      <w:r w:rsidRPr="000476D9">
        <w:rPr>
          <w:rFonts w:cstheme="minorHAnsi"/>
          <w:sz w:val="24"/>
          <w:szCs w:val="24"/>
        </w:rPr>
        <w:t>Os órgãos e entidades da Administração Pública Municipal deverão exigir a apresentação de Certidão de Antecedentes Criminais como condição para:</w:t>
      </w:r>
    </w:p>
    <w:p w:rsidR="000476D9" w:rsidRPr="000476D9" w:rsidP="000476D9" w14:paraId="0D98AB44" w14:textId="77777777">
      <w:pPr>
        <w:spacing w:line="240" w:lineRule="auto"/>
        <w:rPr>
          <w:rFonts w:cstheme="minorHAnsi"/>
          <w:sz w:val="24"/>
          <w:szCs w:val="24"/>
        </w:rPr>
      </w:pPr>
      <w:r w:rsidRPr="000476D9">
        <w:rPr>
          <w:rFonts w:cstheme="minorHAnsi"/>
          <w:sz w:val="24"/>
          <w:szCs w:val="24"/>
        </w:rPr>
        <w:t xml:space="preserve">I – </w:t>
      </w:r>
      <w:r w:rsidRPr="000476D9">
        <w:rPr>
          <w:rFonts w:cstheme="minorHAnsi"/>
          <w:sz w:val="24"/>
          <w:szCs w:val="24"/>
        </w:rPr>
        <w:t>habilitação</w:t>
      </w:r>
      <w:r w:rsidRPr="000476D9">
        <w:rPr>
          <w:rFonts w:cstheme="minorHAnsi"/>
          <w:sz w:val="24"/>
          <w:szCs w:val="24"/>
        </w:rPr>
        <w:t xml:space="preserve"> em programas de benefícios sociais;</w:t>
      </w:r>
      <w:r w:rsidRPr="000476D9">
        <w:rPr>
          <w:rFonts w:cstheme="minorHAnsi"/>
          <w:sz w:val="24"/>
          <w:szCs w:val="24"/>
        </w:rPr>
        <w:br/>
        <w:t>II – concessão de incentivos financeiros;</w:t>
      </w:r>
      <w:r w:rsidRPr="000476D9">
        <w:rPr>
          <w:rFonts w:cstheme="minorHAnsi"/>
          <w:sz w:val="24"/>
          <w:szCs w:val="24"/>
        </w:rPr>
        <w:br/>
        <w:t>III – obtenção de isenções tributárias.</w:t>
      </w:r>
    </w:p>
    <w:p w:rsidR="000476D9" w:rsidRPr="000476D9" w:rsidP="000476D9" w14:paraId="34EF0DE5" w14:textId="77777777">
      <w:pPr>
        <w:spacing w:line="240" w:lineRule="auto"/>
        <w:ind w:firstLine="709"/>
        <w:rPr>
          <w:rFonts w:cstheme="minorHAnsi"/>
          <w:sz w:val="24"/>
          <w:szCs w:val="24"/>
        </w:rPr>
      </w:pPr>
      <w:r>
        <w:rPr>
          <w:rFonts w:cstheme="minorHAnsi"/>
          <w:sz w:val="24"/>
          <w:szCs w:val="24"/>
        </w:rPr>
        <w:pict>
          <v:rect id="_x0000_i1028" style="width:0;height:1.5pt" o:hralign="center" o:hrstd="t" o:hr="t" fillcolor="#a0a0a0" stroked="f"/>
        </w:pict>
      </w:r>
    </w:p>
    <w:p w:rsidR="000476D9" w:rsidRPr="000476D9" w:rsidP="000476D9" w14:paraId="51F4DAE3" w14:textId="77777777">
      <w:pPr>
        <w:spacing w:line="240" w:lineRule="auto"/>
        <w:ind w:firstLine="709"/>
        <w:rPr>
          <w:rFonts w:cstheme="minorHAnsi"/>
          <w:b/>
          <w:bCs/>
          <w:sz w:val="24"/>
          <w:szCs w:val="24"/>
        </w:rPr>
      </w:pPr>
      <w:r w:rsidRPr="000476D9">
        <w:rPr>
          <w:rFonts w:cstheme="minorHAnsi"/>
          <w:b/>
          <w:bCs/>
          <w:sz w:val="24"/>
          <w:szCs w:val="24"/>
        </w:rPr>
        <w:t>Art. 5º</w:t>
      </w:r>
    </w:p>
    <w:p w:rsidR="000476D9" w:rsidP="000476D9" w14:paraId="5C134404" w14:textId="77777777">
      <w:pPr>
        <w:spacing w:line="240" w:lineRule="auto"/>
        <w:ind w:firstLine="709"/>
        <w:rPr>
          <w:rFonts w:cstheme="minorHAnsi"/>
          <w:sz w:val="24"/>
          <w:szCs w:val="24"/>
        </w:rPr>
      </w:pPr>
    </w:p>
    <w:p w:rsidR="000476D9" w:rsidRPr="000476D9" w:rsidP="000476D9" w14:paraId="397E285B" w14:textId="574A650B">
      <w:pPr>
        <w:spacing w:line="240" w:lineRule="auto"/>
        <w:ind w:firstLine="709"/>
        <w:rPr>
          <w:rFonts w:cstheme="minorHAnsi"/>
          <w:sz w:val="24"/>
          <w:szCs w:val="24"/>
        </w:rPr>
      </w:pPr>
      <w:r w:rsidRPr="000476D9">
        <w:rPr>
          <w:rFonts w:cstheme="minorHAnsi"/>
          <w:sz w:val="24"/>
          <w:szCs w:val="24"/>
        </w:rPr>
        <w:t>A exclusão do beneficiário condenado não prejudicará o direito de seus dependentes, tais como cônjuge, filhos ou menores sob guarda, desde que:</w:t>
      </w:r>
    </w:p>
    <w:p w:rsidR="000476D9" w:rsidRPr="000476D9" w:rsidP="000476D9" w14:paraId="37DF087F" w14:textId="77777777">
      <w:pPr>
        <w:spacing w:line="240" w:lineRule="auto"/>
        <w:rPr>
          <w:rFonts w:cstheme="minorHAnsi"/>
          <w:sz w:val="24"/>
          <w:szCs w:val="24"/>
        </w:rPr>
      </w:pPr>
      <w:r w:rsidRPr="000476D9">
        <w:rPr>
          <w:rFonts w:cstheme="minorHAnsi"/>
          <w:sz w:val="24"/>
          <w:szCs w:val="24"/>
        </w:rPr>
        <w:t xml:space="preserve">I – </w:t>
      </w:r>
      <w:r w:rsidRPr="000476D9">
        <w:rPr>
          <w:rFonts w:cstheme="minorHAnsi"/>
          <w:sz w:val="24"/>
          <w:szCs w:val="24"/>
        </w:rPr>
        <w:t>não</w:t>
      </w:r>
      <w:r w:rsidRPr="000476D9">
        <w:rPr>
          <w:rFonts w:cstheme="minorHAnsi"/>
          <w:sz w:val="24"/>
          <w:szCs w:val="24"/>
        </w:rPr>
        <w:t xml:space="preserve"> tenham participação no crime;</w:t>
      </w:r>
      <w:r w:rsidRPr="000476D9">
        <w:rPr>
          <w:rFonts w:cstheme="minorHAnsi"/>
          <w:sz w:val="24"/>
          <w:szCs w:val="24"/>
        </w:rPr>
        <w:br/>
        <w:t>II – comprovem a necessidade do benefício para sua subsistência.</w:t>
      </w:r>
    </w:p>
    <w:p w:rsidR="000476D9" w:rsidRPr="000476D9" w:rsidP="000476D9" w14:paraId="0255B706" w14:textId="77777777">
      <w:pPr>
        <w:spacing w:line="240" w:lineRule="auto"/>
        <w:ind w:firstLine="709"/>
        <w:rPr>
          <w:rFonts w:cstheme="minorHAnsi"/>
          <w:sz w:val="24"/>
          <w:szCs w:val="24"/>
        </w:rPr>
      </w:pPr>
      <w:r w:rsidRPr="000476D9">
        <w:rPr>
          <w:rFonts w:cstheme="minorHAnsi"/>
          <w:sz w:val="24"/>
          <w:szCs w:val="24"/>
        </w:rPr>
        <w:t>Parágrafo único. Nesses casos, o benefício deverá ser transferido para outro membro da unidade familiar ou para curador legalmente designado.</w:t>
      </w:r>
    </w:p>
    <w:p w:rsidR="000476D9" w:rsidRPr="000476D9" w:rsidP="000476D9" w14:paraId="2D5B0E37" w14:textId="77777777">
      <w:pPr>
        <w:spacing w:line="240" w:lineRule="auto"/>
        <w:ind w:firstLine="709"/>
        <w:rPr>
          <w:rFonts w:cstheme="minorHAnsi"/>
          <w:sz w:val="24"/>
          <w:szCs w:val="24"/>
        </w:rPr>
      </w:pPr>
      <w:r>
        <w:rPr>
          <w:rFonts w:cstheme="minorHAnsi"/>
          <w:sz w:val="24"/>
          <w:szCs w:val="24"/>
        </w:rPr>
        <w:pict>
          <v:rect id="_x0000_i1029" style="width:0;height:1.5pt" o:hralign="center" o:hrstd="t" o:hr="t" fillcolor="#a0a0a0" stroked="f"/>
        </w:pict>
      </w:r>
    </w:p>
    <w:p w:rsidR="000476D9" w:rsidRPr="000476D9" w:rsidP="000476D9" w14:paraId="193D0DD5" w14:textId="77777777">
      <w:pPr>
        <w:spacing w:line="240" w:lineRule="auto"/>
        <w:ind w:firstLine="709"/>
        <w:rPr>
          <w:rFonts w:cstheme="minorHAnsi"/>
          <w:b/>
          <w:bCs/>
          <w:sz w:val="24"/>
          <w:szCs w:val="24"/>
        </w:rPr>
      </w:pPr>
      <w:r w:rsidRPr="000476D9">
        <w:rPr>
          <w:rFonts w:cstheme="minorHAnsi"/>
          <w:b/>
          <w:bCs/>
          <w:sz w:val="24"/>
          <w:szCs w:val="24"/>
        </w:rPr>
        <w:t>Art. 6º</w:t>
      </w:r>
    </w:p>
    <w:p w:rsidR="000476D9" w:rsidRPr="000476D9" w:rsidP="000476D9" w14:paraId="5648512F" w14:textId="77777777">
      <w:pPr>
        <w:spacing w:line="240" w:lineRule="auto"/>
        <w:ind w:firstLine="709"/>
        <w:rPr>
          <w:rFonts w:cstheme="minorHAnsi"/>
          <w:sz w:val="24"/>
          <w:szCs w:val="24"/>
        </w:rPr>
      </w:pPr>
      <w:r w:rsidRPr="000476D9">
        <w:rPr>
          <w:rFonts w:cstheme="minorHAnsi"/>
          <w:sz w:val="24"/>
          <w:szCs w:val="24"/>
        </w:rPr>
        <w:t>O Poder Executivo regulamentará esta Lei no que couber, podendo:</w:t>
      </w:r>
    </w:p>
    <w:p w:rsidR="000476D9" w:rsidRPr="000476D9" w:rsidP="000476D9" w14:paraId="2F5F69BE" w14:textId="77777777">
      <w:pPr>
        <w:spacing w:line="240" w:lineRule="auto"/>
        <w:rPr>
          <w:rFonts w:cstheme="minorHAnsi"/>
          <w:sz w:val="24"/>
          <w:szCs w:val="24"/>
        </w:rPr>
      </w:pPr>
      <w:r w:rsidRPr="000476D9">
        <w:rPr>
          <w:rFonts w:cstheme="minorHAnsi"/>
          <w:sz w:val="24"/>
          <w:szCs w:val="24"/>
        </w:rPr>
        <w:t xml:space="preserve">I – </w:t>
      </w:r>
      <w:r w:rsidRPr="000476D9">
        <w:rPr>
          <w:rFonts w:cstheme="minorHAnsi"/>
          <w:sz w:val="24"/>
          <w:szCs w:val="24"/>
        </w:rPr>
        <w:t>estabelecer</w:t>
      </w:r>
      <w:r w:rsidRPr="000476D9">
        <w:rPr>
          <w:rFonts w:cstheme="minorHAnsi"/>
          <w:sz w:val="24"/>
          <w:szCs w:val="24"/>
        </w:rPr>
        <w:t xml:space="preserve"> convênios com o Tribunal de Justiça do Estado de São Paulo;</w:t>
      </w:r>
      <w:r w:rsidRPr="000476D9">
        <w:rPr>
          <w:rFonts w:cstheme="minorHAnsi"/>
          <w:sz w:val="24"/>
          <w:szCs w:val="24"/>
        </w:rPr>
        <w:br/>
        <w:t>II – definir mecanismos de cruzamento de dados;</w:t>
      </w:r>
      <w:r w:rsidRPr="000476D9">
        <w:rPr>
          <w:rFonts w:cstheme="minorHAnsi"/>
          <w:sz w:val="24"/>
          <w:szCs w:val="24"/>
        </w:rPr>
        <w:br/>
        <w:t>III – instituir procedimentos de fiscalização para garantir o cumprimento desta Lei.</w:t>
      </w:r>
    </w:p>
    <w:p w:rsidR="000476D9" w:rsidRPr="000476D9" w:rsidP="000476D9" w14:paraId="7A68668D" w14:textId="77777777">
      <w:pPr>
        <w:spacing w:line="240" w:lineRule="auto"/>
        <w:ind w:firstLine="709"/>
        <w:rPr>
          <w:rFonts w:cstheme="minorHAnsi"/>
          <w:sz w:val="24"/>
          <w:szCs w:val="24"/>
        </w:rPr>
      </w:pPr>
      <w:r>
        <w:rPr>
          <w:rFonts w:cstheme="minorHAnsi"/>
          <w:sz w:val="24"/>
          <w:szCs w:val="24"/>
        </w:rPr>
        <w:pict>
          <v:rect id="_x0000_i1030" style="width:0;height:1.5pt" o:hralign="center" o:hrstd="t" o:hr="t" fillcolor="#a0a0a0" stroked="f"/>
        </w:pict>
      </w:r>
    </w:p>
    <w:p w:rsidR="000476D9" w:rsidRPr="000476D9" w:rsidP="000476D9" w14:paraId="123328D6" w14:textId="77777777">
      <w:pPr>
        <w:spacing w:line="240" w:lineRule="auto"/>
        <w:ind w:firstLine="709"/>
        <w:rPr>
          <w:rFonts w:cstheme="minorHAnsi"/>
          <w:b/>
          <w:bCs/>
          <w:sz w:val="24"/>
          <w:szCs w:val="24"/>
        </w:rPr>
      </w:pPr>
      <w:r w:rsidRPr="000476D9">
        <w:rPr>
          <w:rFonts w:cstheme="minorHAnsi"/>
          <w:b/>
          <w:bCs/>
          <w:sz w:val="24"/>
          <w:szCs w:val="24"/>
        </w:rPr>
        <w:t>Art. 7º</w:t>
      </w:r>
    </w:p>
    <w:p w:rsidR="000476D9" w:rsidRPr="000476D9" w:rsidP="000476D9" w14:paraId="4FB245B9" w14:textId="77777777">
      <w:pPr>
        <w:spacing w:line="240" w:lineRule="auto"/>
        <w:ind w:firstLine="709"/>
        <w:rPr>
          <w:rFonts w:cstheme="minorHAnsi"/>
          <w:b/>
          <w:bCs/>
          <w:sz w:val="24"/>
          <w:szCs w:val="24"/>
        </w:rPr>
      </w:pPr>
      <w:r w:rsidRPr="000476D9">
        <w:rPr>
          <w:rFonts w:cstheme="minorHAnsi"/>
          <w:sz w:val="24"/>
          <w:szCs w:val="24"/>
        </w:rPr>
        <w:t>Esta Lei entra em vigor na data de sua publicação</w:t>
      </w:r>
      <w:r w:rsidRPr="000476D9">
        <w:rPr>
          <w:rFonts w:cstheme="minorHAnsi"/>
          <w:b/>
          <w:bCs/>
          <w:sz w:val="24"/>
          <w:szCs w:val="24"/>
        </w:rPr>
        <w:t>.</w:t>
      </w:r>
    </w:p>
    <w:p w:rsidR="00E534F2" w:rsidRPr="00E534F2" w:rsidP="00E534F2" w14:paraId="3EE113B9" w14:textId="52485067">
      <w:pPr>
        <w:spacing w:line="240" w:lineRule="auto"/>
        <w:ind w:firstLine="709"/>
        <w:rPr>
          <w:rFonts w:cstheme="minorHAnsi"/>
          <w:sz w:val="24"/>
          <w:szCs w:val="24"/>
        </w:rPr>
      </w:pPr>
    </w:p>
    <w:p w:rsidR="00C86B34" w:rsidRPr="00682E3B" w:rsidP="00682E3B" w14:paraId="4D3C40C6" w14:textId="1D5B425A">
      <w:pPr>
        <w:spacing w:line="240" w:lineRule="auto"/>
        <w:ind w:firstLine="709"/>
        <w:rPr>
          <w:rFonts w:cstheme="minorHAnsi"/>
          <w:sz w:val="24"/>
          <w:szCs w:val="24"/>
        </w:rPr>
      </w:pPr>
    </w:p>
    <w:p w:rsidR="00D15F2F" w:rsidRPr="00C86B34" w:rsidP="002B53C0" w14:paraId="49AF252A" w14:textId="6BAEB56C">
      <w:pPr>
        <w:spacing w:line="240" w:lineRule="auto"/>
        <w:ind w:firstLine="709"/>
        <w:jc w:val="center"/>
        <w:rPr>
          <w:rFonts w:cstheme="minorHAnsi"/>
          <w:sz w:val="24"/>
          <w:szCs w:val="24"/>
        </w:rPr>
      </w:pPr>
      <w:r w:rsidRPr="00C86B34">
        <w:rPr>
          <w:rFonts w:cstheme="minorHAnsi"/>
          <w:noProof/>
          <w:sz w:val="24"/>
          <w:szCs w:val="24"/>
        </w:rPr>
        <w:drawing>
          <wp:inline distT="0" distB="0" distL="0" distR="0">
            <wp:extent cx="2143125" cy="1638300"/>
            <wp:effectExtent l="0" t="0" r="9525" b="0"/>
            <wp:docPr id="14022554" name="Imagem 1402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600967" name="Imagem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43125" cy="1638300"/>
                    </a:xfrm>
                    <a:prstGeom prst="rect">
                      <a:avLst/>
                    </a:prstGeom>
                    <a:noFill/>
                    <a:ln>
                      <a:noFill/>
                    </a:ln>
                  </pic:spPr>
                </pic:pic>
              </a:graphicData>
            </a:graphic>
          </wp:inline>
        </w:drawing>
      </w:r>
    </w:p>
    <w:p w:rsidR="00D15F2F" w:rsidRPr="00C86B34" w:rsidP="00D15F2F" w14:paraId="2F555632" w14:textId="77777777">
      <w:pPr>
        <w:spacing w:line="240" w:lineRule="auto"/>
        <w:ind w:firstLine="709"/>
        <w:rPr>
          <w:rFonts w:cstheme="minorHAnsi"/>
          <w:sz w:val="24"/>
          <w:szCs w:val="24"/>
        </w:rPr>
      </w:pPr>
    </w:p>
    <w:p w:rsidR="00544F2C" w:rsidRPr="00C86B34" w:rsidP="00D15F2F" w14:paraId="6823672B" w14:textId="77777777">
      <w:pPr>
        <w:spacing w:line="240" w:lineRule="auto"/>
        <w:ind w:firstLine="709"/>
        <w:rPr>
          <w:rFonts w:cstheme="minorHAnsi"/>
          <w:sz w:val="24"/>
          <w:szCs w:val="24"/>
        </w:rPr>
      </w:pPr>
    </w:p>
    <w:p w:rsidR="00C86B34" w:rsidRPr="00C86B34" w:rsidP="00C86B34" w14:paraId="3D1C0EA2" w14:textId="77777777">
      <w:pPr>
        <w:spacing w:line="240" w:lineRule="auto"/>
        <w:ind w:firstLine="709"/>
        <w:rPr>
          <w:rFonts w:cstheme="minorHAnsi"/>
          <w:b/>
          <w:bCs/>
          <w:sz w:val="28"/>
          <w:szCs w:val="28"/>
        </w:rPr>
      </w:pPr>
      <w:r w:rsidRPr="00C86B34">
        <w:rPr>
          <w:rFonts w:cstheme="minorHAnsi"/>
          <w:b/>
          <w:bCs/>
          <w:sz w:val="28"/>
          <w:szCs w:val="28"/>
        </w:rPr>
        <w:t>JUSTIFICATIVA</w:t>
      </w:r>
    </w:p>
    <w:p w:rsidR="00E534F2" w:rsidP="00E534F2" w14:paraId="501F87EE" w14:textId="77777777">
      <w:pPr>
        <w:spacing w:line="240" w:lineRule="auto"/>
        <w:ind w:firstLine="709"/>
        <w:rPr>
          <w:rFonts w:cstheme="minorHAnsi"/>
          <w:sz w:val="24"/>
          <w:szCs w:val="24"/>
        </w:rPr>
      </w:pPr>
    </w:p>
    <w:p w:rsidR="000476D9" w:rsidRPr="000476D9" w:rsidP="000476D9" w14:paraId="14854F12" w14:textId="77777777">
      <w:pPr>
        <w:spacing w:line="240" w:lineRule="auto"/>
        <w:ind w:firstLine="709"/>
        <w:rPr>
          <w:rFonts w:cstheme="minorHAnsi"/>
          <w:sz w:val="24"/>
          <w:szCs w:val="24"/>
        </w:rPr>
      </w:pPr>
      <w:r w:rsidRPr="000476D9">
        <w:rPr>
          <w:rFonts w:cstheme="minorHAnsi"/>
          <w:sz w:val="24"/>
          <w:szCs w:val="24"/>
        </w:rPr>
        <w:t>O presente Projeto de Lei tem como objetivo reforçar a proteção integral de crianças e adolescentes, princípio consagrado na Constituição Federal e no Estatuto da Criança e do Adolescente.</w:t>
      </w:r>
    </w:p>
    <w:p w:rsidR="000476D9" w:rsidP="000476D9" w14:paraId="3007C6E9" w14:textId="77777777">
      <w:pPr>
        <w:spacing w:line="240" w:lineRule="auto"/>
        <w:ind w:firstLine="709"/>
        <w:rPr>
          <w:rFonts w:cstheme="minorHAnsi"/>
          <w:sz w:val="24"/>
          <w:szCs w:val="24"/>
        </w:rPr>
      </w:pPr>
    </w:p>
    <w:p w:rsidR="000476D9" w:rsidRPr="000476D9" w:rsidP="000476D9" w14:paraId="593728E6" w14:textId="6A25324E">
      <w:pPr>
        <w:spacing w:line="240" w:lineRule="auto"/>
        <w:ind w:firstLine="709"/>
        <w:rPr>
          <w:rFonts w:cstheme="minorHAnsi"/>
          <w:sz w:val="24"/>
          <w:szCs w:val="24"/>
        </w:rPr>
      </w:pPr>
      <w:r w:rsidRPr="000476D9">
        <w:rPr>
          <w:rFonts w:cstheme="minorHAnsi"/>
          <w:sz w:val="24"/>
          <w:szCs w:val="24"/>
        </w:rPr>
        <w:t>A proposta estabelece que indivíduos condenados definitivamente por crimes graves, como violência sexual, psicológica ou tortura contra menores, não possam se beneficiar de recursos públicos municipais, garantindo maior responsabilidade social na concessão de benefícios e incentivos.</w:t>
      </w:r>
    </w:p>
    <w:p w:rsidR="000476D9" w:rsidRPr="000476D9" w:rsidP="000476D9" w14:paraId="3428E4B5" w14:textId="77777777">
      <w:pPr>
        <w:spacing w:line="240" w:lineRule="auto"/>
        <w:ind w:firstLine="709"/>
        <w:rPr>
          <w:rFonts w:cstheme="minorHAnsi"/>
          <w:sz w:val="24"/>
          <w:szCs w:val="24"/>
        </w:rPr>
      </w:pPr>
      <w:r w:rsidRPr="000476D9">
        <w:rPr>
          <w:rFonts w:cstheme="minorHAnsi"/>
          <w:sz w:val="24"/>
          <w:szCs w:val="24"/>
        </w:rPr>
        <w:t>Além disso, a medida preserva os direitos dos dependentes inocentes, assegurando que não sejam prejudicados por atos cometidos por terceiros, mantendo o caráter social das políticas públicas.</w:t>
      </w:r>
    </w:p>
    <w:p w:rsidR="000476D9" w:rsidRPr="000476D9" w:rsidP="000476D9" w14:paraId="1FDAD5D6" w14:textId="77777777">
      <w:pPr>
        <w:spacing w:line="240" w:lineRule="auto"/>
        <w:ind w:firstLine="709"/>
        <w:rPr>
          <w:rFonts w:cstheme="minorHAnsi"/>
          <w:sz w:val="24"/>
          <w:szCs w:val="24"/>
        </w:rPr>
      </w:pPr>
      <w:r w:rsidRPr="000476D9">
        <w:rPr>
          <w:rFonts w:cstheme="minorHAnsi"/>
          <w:sz w:val="24"/>
          <w:szCs w:val="24"/>
        </w:rPr>
        <w:t>Dessa forma, o projeto busca alinhar o uso de recursos públicos com princípios de justiça, proteção social e responsabilidade, fortalecendo a confiança da população nas políticas públicas do Município de Sumaré.</w:t>
      </w:r>
    </w:p>
    <w:p w:rsidR="00682E3B" w:rsidP="00682E3B" w14:paraId="0549BD43" w14:textId="77777777">
      <w:pPr>
        <w:spacing w:line="240" w:lineRule="auto"/>
        <w:ind w:firstLine="709"/>
        <w:rPr>
          <w:rFonts w:cstheme="minorHAnsi"/>
          <w:sz w:val="24"/>
          <w:szCs w:val="24"/>
        </w:rPr>
      </w:pPr>
    </w:p>
    <w:p w:rsidR="00682E3B" w:rsidRPr="00682E3B" w:rsidP="00682E3B" w14:paraId="6AF4283A" w14:textId="77777777">
      <w:pPr>
        <w:spacing w:line="240" w:lineRule="auto"/>
        <w:ind w:firstLine="709"/>
        <w:jc w:val="center"/>
        <w:rPr>
          <w:rFonts w:cstheme="minorHAnsi"/>
          <w:sz w:val="24"/>
          <w:szCs w:val="24"/>
        </w:rPr>
      </w:pPr>
    </w:p>
    <w:p w:rsidR="00E21D66" w:rsidRPr="00FF64A9" w:rsidP="000505CD" w14:paraId="31A64DA9" w14:textId="1F92A180">
      <w:pPr>
        <w:spacing w:line="240" w:lineRule="auto"/>
        <w:ind w:firstLine="709"/>
        <w:jc w:val="center"/>
        <w:rPr>
          <w:rFonts w:cstheme="minorHAnsi"/>
          <w:sz w:val="24"/>
          <w:szCs w:val="24"/>
        </w:rPr>
      </w:pPr>
      <w:r w:rsidRPr="00FF64A9">
        <w:rPr>
          <w:rFonts w:cstheme="minorHAnsi"/>
          <w:sz w:val="24"/>
          <w:szCs w:val="24"/>
        </w:rPr>
        <w:t>Sala das Sessões,</w:t>
      </w:r>
      <w:r w:rsidRPr="00FF64A9" w:rsidR="00EB474C">
        <w:rPr>
          <w:rFonts w:cstheme="minorHAnsi"/>
          <w:sz w:val="24"/>
          <w:szCs w:val="24"/>
        </w:rPr>
        <w:t xml:space="preserve"> </w:t>
      </w:r>
      <w:r w:rsidR="000476D9">
        <w:rPr>
          <w:rFonts w:cstheme="minorHAnsi"/>
          <w:sz w:val="24"/>
          <w:szCs w:val="24"/>
        </w:rPr>
        <w:t xml:space="preserve">06 de </w:t>
      </w:r>
      <w:r w:rsidR="000476D9">
        <w:rPr>
          <w:rFonts w:cstheme="minorHAnsi"/>
          <w:sz w:val="24"/>
          <w:szCs w:val="24"/>
        </w:rPr>
        <w:t>Maiio</w:t>
      </w:r>
      <w:r w:rsidR="005C1F9F">
        <w:rPr>
          <w:rFonts w:cstheme="minorHAnsi"/>
          <w:sz w:val="24"/>
          <w:szCs w:val="24"/>
        </w:rPr>
        <w:t xml:space="preserve"> de 2026</w:t>
      </w:r>
    </w:p>
    <w:p w:rsidR="00E21D66" w:rsidP="004C0E73" w14:paraId="4ACFDEE4" w14:textId="48BB5ECD">
      <w:pPr>
        <w:spacing w:line="240" w:lineRule="auto"/>
        <w:ind w:firstLine="709"/>
        <w:jc w:val="both"/>
        <w:rPr>
          <w:rFonts w:cstheme="minorHAnsi"/>
          <w:b/>
          <w:bCs/>
          <w:sz w:val="28"/>
          <w:szCs w:val="28"/>
        </w:rPr>
      </w:pPr>
      <w:r>
        <w:rPr>
          <w:rFonts w:cstheme="minorHAnsi"/>
          <w:b/>
          <w:bCs/>
          <w:sz w:val="28"/>
          <w:szCs w:val="28"/>
        </w:rPr>
        <w:t xml:space="preserve">                               </w:t>
      </w:r>
      <w:r>
        <w:rPr>
          <w:noProof/>
          <w:sz w:val="28"/>
          <w:szCs w:val="28"/>
        </w:rPr>
        <w:drawing>
          <wp:inline distT="0" distB="0" distL="0" distR="0">
            <wp:extent cx="2143125" cy="1638300"/>
            <wp:effectExtent l="0" t="0" r="9525" b="0"/>
            <wp:docPr id="422456927" name="Imagem 422456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60351" name="Imagem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43125" cy="1638300"/>
                    </a:xfrm>
                    <a:prstGeom prst="rect">
                      <a:avLst/>
                    </a:prstGeom>
                    <a:noFill/>
                    <a:ln>
                      <a:noFill/>
                    </a:ln>
                  </pic:spPr>
                </pic:pic>
              </a:graphicData>
            </a:graphic>
          </wp:inline>
        </w:drawing>
      </w:r>
      <w:permEnd w:id="0"/>
    </w:p>
    <w:sectPr w:rsidSect="0026630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619875"/>
          <wp:wrapNone/>
          <wp:docPr id="100020"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BE23D7"/>
    <w:multiLevelType w:val="hybridMultilevel"/>
    <w:tmpl w:val="31DE73EC"/>
    <w:lvl w:ilvl="0">
      <w:start w:val="1"/>
      <w:numFmt w:val="upperRoman"/>
      <w:lvlText w:val="%1-"/>
      <w:lvlJc w:val="left"/>
      <w:pPr>
        <w:ind w:left="1287" w:hanging="72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CD1AE1"/>
    <w:multiLevelType w:val="multilevel"/>
    <w:tmpl w:val="E36C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513305"/>
    <w:multiLevelType w:val="multilevel"/>
    <w:tmpl w:val="0BF8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705D91"/>
    <w:multiLevelType w:val="multilevel"/>
    <w:tmpl w:val="BAD4E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CC240F"/>
    <w:multiLevelType w:val="multilevel"/>
    <w:tmpl w:val="F914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4"/>
  </w:num>
  <w:num w:numId="4">
    <w:abstractNumId w:val="2"/>
  </w:num>
  <w:num w:numId="5">
    <w:abstractNumId w:val="6"/>
  </w:num>
  <w:num w:numId="6">
    <w:abstractNumId w:val="0"/>
  </w:num>
  <w:num w:numId="7">
    <w:abstractNumId w:val="1"/>
  </w:num>
  <w:num w:numId="8">
    <w:abstractNumId w:val="9"/>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C6B"/>
    <w:rsid w:val="0000516D"/>
    <w:rsid w:val="00007BD4"/>
    <w:rsid w:val="0002342D"/>
    <w:rsid w:val="000238C7"/>
    <w:rsid w:val="00026C71"/>
    <w:rsid w:val="00045243"/>
    <w:rsid w:val="00045E1B"/>
    <w:rsid w:val="000476D9"/>
    <w:rsid w:val="000505CD"/>
    <w:rsid w:val="00056520"/>
    <w:rsid w:val="00064925"/>
    <w:rsid w:val="0007298B"/>
    <w:rsid w:val="0007456D"/>
    <w:rsid w:val="00082DB0"/>
    <w:rsid w:val="00090DDD"/>
    <w:rsid w:val="000A4EED"/>
    <w:rsid w:val="000A5F2D"/>
    <w:rsid w:val="000B1814"/>
    <w:rsid w:val="000C2FB0"/>
    <w:rsid w:val="000C31C2"/>
    <w:rsid w:val="000D2BDC"/>
    <w:rsid w:val="000E00D3"/>
    <w:rsid w:val="000E08DF"/>
    <w:rsid w:val="000E5998"/>
    <w:rsid w:val="000F3FE5"/>
    <w:rsid w:val="00100FDB"/>
    <w:rsid w:val="00104AAA"/>
    <w:rsid w:val="00105D50"/>
    <w:rsid w:val="00107E5C"/>
    <w:rsid w:val="00113A58"/>
    <w:rsid w:val="00113D72"/>
    <w:rsid w:val="00120A39"/>
    <w:rsid w:val="00134212"/>
    <w:rsid w:val="00141AC3"/>
    <w:rsid w:val="001427EB"/>
    <w:rsid w:val="00147144"/>
    <w:rsid w:val="00150205"/>
    <w:rsid w:val="00151C72"/>
    <w:rsid w:val="001563DB"/>
    <w:rsid w:val="0015657E"/>
    <w:rsid w:val="00156CF8"/>
    <w:rsid w:val="00163191"/>
    <w:rsid w:val="00164914"/>
    <w:rsid w:val="001717FC"/>
    <w:rsid w:val="00174B93"/>
    <w:rsid w:val="00180D68"/>
    <w:rsid w:val="00197683"/>
    <w:rsid w:val="001A6D26"/>
    <w:rsid w:val="001B120F"/>
    <w:rsid w:val="001B1CCA"/>
    <w:rsid w:val="001D038B"/>
    <w:rsid w:val="001D1E5D"/>
    <w:rsid w:val="001D315F"/>
    <w:rsid w:val="001D366E"/>
    <w:rsid w:val="001D6597"/>
    <w:rsid w:val="001E0616"/>
    <w:rsid w:val="001E268E"/>
    <w:rsid w:val="001E6AE0"/>
    <w:rsid w:val="001F3913"/>
    <w:rsid w:val="002065A9"/>
    <w:rsid w:val="002077DE"/>
    <w:rsid w:val="00207EAC"/>
    <w:rsid w:val="002170CB"/>
    <w:rsid w:val="00224738"/>
    <w:rsid w:val="00241285"/>
    <w:rsid w:val="002532DF"/>
    <w:rsid w:val="00253327"/>
    <w:rsid w:val="00263547"/>
    <w:rsid w:val="00266303"/>
    <w:rsid w:val="00272271"/>
    <w:rsid w:val="00273526"/>
    <w:rsid w:val="0028029E"/>
    <w:rsid w:val="002A443C"/>
    <w:rsid w:val="002A6ABF"/>
    <w:rsid w:val="002A75BC"/>
    <w:rsid w:val="002B3BC5"/>
    <w:rsid w:val="002B45A2"/>
    <w:rsid w:val="002B53C0"/>
    <w:rsid w:val="002C048C"/>
    <w:rsid w:val="002C2D76"/>
    <w:rsid w:val="002D3BBF"/>
    <w:rsid w:val="002E0795"/>
    <w:rsid w:val="002E76CC"/>
    <w:rsid w:val="002F3550"/>
    <w:rsid w:val="003028B7"/>
    <w:rsid w:val="00310EF7"/>
    <w:rsid w:val="003209EA"/>
    <w:rsid w:val="00322649"/>
    <w:rsid w:val="003322BE"/>
    <w:rsid w:val="00341B5F"/>
    <w:rsid w:val="00354896"/>
    <w:rsid w:val="00370E69"/>
    <w:rsid w:val="0038125F"/>
    <w:rsid w:val="00385851"/>
    <w:rsid w:val="003939E9"/>
    <w:rsid w:val="0039679A"/>
    <w:rsid w:val="00396A9F"/>
    <w:rsid w:val="003A4B5F"/>
    <w:rsid w:val="003B1403"/>
    <w:rsid w:val="003C4517"/>
    <w:rsid w:val="003C5AE3"/>
    <w:rsid w:val="003D75C7"/>
    <w:rsid w:val="003E6A68"/>
    <w:rsid w:val="003F5653"/>
    <w:rsid w:val="003F71BE"/>
    <w:rsid w:val="00402735"/>
    <w:rsid w:val="0040586C"/>
    <w:rsid w:val="00407388"/>
    <w:rsid w:val="004104BC"/>
    <w:rsid w:val="00414E45"/>
    <w:rsid w:val="00415813"/>
    <w:rsid w:val="004455CF"/>
    <w:rsid w:val="00445A17"/>
    <w:rsid w:val="00457121"/>
    <w:rsid w:val="00460A32"/>
    <w:rsid w:val="004709C2"/>
    <w:rsid w:val="00475342"/>
    <w:rsid w:val="0049057A"/>
    <w:rsid w:val="00492EFB"/>
    <w:rsid w:val="0049652C"/>
    <w:rsid w:val="004A02E3"/>
    <w:rsid w:val="004B2CC9"/>
    <w:rsid w:val="004C0E73"/>
    <w:rsid w:val="004C32F0"/>
    <w:rsid w:val="004C3851"/>
    <w:rsid w:val="004D406C"/>
    <w:rsid w:val="004E43C2"/>
    <w:rsid w:val="0051286F"/>
    <w:rsid w:val="00531B9B"/>
    <w:rsid w:val="00537991"/>
    <w:rsid w:val="00537D76"/>
    <w:rsid w:val="0054377C"/>
    <w:rsid w:val="00544F2C"/>
    <w:rsid w:val="00547C5E"/>
    <w:rsid w:val="005526C6"/>
    <w:rsid w:val="0057753F"/>
    <w:rsid w:val="00577815"/>
    <w:rsid w:val="005802F1"/>
    <w:rsid w:val="0058466D"/>
    <w:rsid w:val="00596077"/>
    <w:rsid w:val="005A11F2"/>
    <w:rsid w:val="005A35E7"/>
    <w:rsid w:val="005A4854"/>
    <w:rsid w:val="005A53C2"/>
    <w:rsid w:val="005B554E"/>
    <w:rsid w:val="005B58FE"/>
    <w:rsid w:val="005C1F9F"/>
    <w:rsid w:val="005D6EA5"/>
    <w:rsid w:val="005E219D"/>
    <w:rsid w:val="005F19D3"/>
    <w:rsid w:val="005F2FA7"/>
    <w:rsid w:val="005F3EC3"/>
    <w:rsid w:val="005F76CD"/>
    <w:rsid w:val="00601B0A"/>
    <w:rsid w:val="00603BFE"/>
    <w:rsid w:val="00610088"/>
    <w:rsid w:val="00615231"/>
    <w:rsid w:val="006216B8"/>
    <w:rsid w:val="00624E31"/>
    <w:rsid w:val="00626437"/>
    <w:rsid w:val="0063074D"/>
    <w:rsid w:val="00632FA0"/>
    <w:rsid w:val="0063419C"/>
    <w:rsid w:val="0065597E"/>
    <w:rsid w:val="00657454"/>
    <w:rsid w:val="00675778"/>
    <w:rsid w:val="006758F9"/>
    <w:rsid w:val="00675F81"/>
    <w:rsid w:val="006804A3"/>
    <w:rsid w:val="00682E3B"/>
    <w:rsid w:val="00683D74"/>
    <w:rsid w:val="00686763"/>
    <w:rsid w:val="00687B10"/>
    <w:rsid w:val="006B1010"/>
    <w:rsid w:val="006C0A64"/>
    <w:rsid w:val="006C22A3"/>
    <w:rsid w:val="006C41A4"/>
    <w:rsid w:val="006D1E9A"/>
    <w:rsid w:val="006D3D1F"/>
    <w:rsid w:val="006D3FB9"/>
    <w:rsid w:val="006D6169"/>
    <w:rsid w:val="006E361D"/>
    <w:rsid w:val="006E7B00"/>
    <w:rsid w:val="00705AAD"/>
    <w:rsid w:val="007127FE"/>
    <w:rsid w:val="00717A82"/>
    <w:rsid w:val="007306A2"/>
    <w:rsid w:val="0073363C"/>
    <w:rsid w:val="007548C3"/>
    <w:rsid w:val="00757984"/>
    <w:rsid w:val="00765E28"/>
    <w:rsid w:val="00767D93"/>
    <w:rsid w:val="007773EB"/>
    <w:rsid w:val="0078086A"/>
    <w:rsid w:val="007846E7"/>
    <w:rsid w:val="00784713"/>
    <w:rsid w:val="007946E1"/>
    <w:rsid w:val="007A097B"/>
    <w:rsid w:val="007A10BC"/>
    <w:rsid w:val="007A44CB"/>
    <w:rsid w:val="007A5C3B"/>
    <w:rsid w:val="007B14B7"/>
    <w:rsid w:val="007B1AA0"/>
    <w:rsid w:val="007C40DD"/>
    <w:rsid w:val="007C74C1"/>
    <w:rsid w:val="007D0376"/>
    <w:rsid w:val="007E1A2C"/>
    <w:rsid w:val="007E3A9A"/>
    <w:rsid w:val="007F29A7"/>
    <w:rsid w:val="007F33CE"/>
    <w:rsid w:val="007F36CD"/>
    <w:rsid w:val="007F71A5"/>
    <w:rsid w:val="00812041"/>
    <w:rsid w:val="00822396"/>
    <w:rsid w:val="0083031D"/>
    <w:rsid w:val="008344C8"/>
    <w:rsid w:val="00847BDA"/>
    <w:rsid w:val="00853F2C"/>
    <w:rsid w:val="008546CF"/>
    <w:rsid w:val="008627C0"/>
    <w:rsid w:val="0087190D"/>
    <w:rsid w:val="00877190"/>
    <w:rsid w:val="0088258C"/>
    <w:rsid w:val="00896977"/>
    <w:rsid w:val="008A3AD0"/>
    <w:rsid w:val="008B4213"/>
    <w:rsid w:val="008C08A0"/>
    <w:rsid w:val="008C1D2E"/>
    <w:rsid w:val="008C7A37"/>
    <w:rsid w:val="008E3EAD"/>
    <w:rsid w:val="008F18EF"/>
    <w:rsid w:val="00900EB3"/>
    <w:rsid w:val="00911489"/>
    <w:rsid w:val="009208FB"/>
    <w:rsid w:val="00927DDD"/>
    <w:rsid w:val="00930E75"/>
    <w:rsid w:val="00932FB6"/>
    <w:rsid w:val="00933DFD"/>
    <w:rsid w:val="0093471C"/>
    <w:rsid w:val="009558CD"/>
    <w:rsid w:val="00956319"/>
    <w:rsid w:val="009639C3"/>
    <w:rsid w:val="0098782A"/>
    <w:rsid w:val="00991B83"/>
    <w:rsid w:val="00994F43"/>
    <w:rsid w:val="00996CAC"/>
    <w:rsid w:val="00997AAD"/>
    <w:rsid w:val="009A47E3"/>
    <w:rsid w:val="009A726D"/>
    <w:rsid w:val="009B1714"/>
    <w:rsid w:val="009B6397"/>
    <w:rsid w:val="009B75B0"/>
    <w:rsid w:val="009C0080"/>
    <w:rsid w:val="009E1771"/>
    <w:rsid w:val="00A06CF2"/>
    <w:rsid w:val="00A10640"/>
    <w:rsid w:val="00A11E8C"/>
    <w:rsid w:val="00A12ED9"/>
    <w:rsid w:val="00A15B8D"/>
    <w:rsid w:val="00A32111"/>
    <w:rsid w:val="00A32412"/>
    <w:rsid w:val="00A45254"/>
    <w:rsid w:val="00A506B1"/>
    <w:rsid w:val="00A54514"/>
    <w:rsid w:val="00A63F75"/>
    <w:rsid w:val="00A64C8D"/>
    <w:rsid w:val="00A83DD3"/>
    <w:rsid w:val="00AA0B35"/>
    <w:rsid w:val="00AA7FE9"/>
    <w:rsid w:val="00AA7FF2"/>
    <w:rsid w:val="00AD3FB6"/>
    <w:rsid w:val="00AD59A2"/>
    <w:rsid w:val="00AD70E3"/>
    <w:rsid w:val="00AE4B08"/>
    <w:rsid w:val="00AE6AEE"/>
    <w:rsid w:val="00AF7D7B"/>
    <w:rsid w:val="00B0197B"/>
    <w:rsid w:val="00B01F65"/>
    <w:rsid w:val="00B0685B"/>
    <w:rsid w:val="00B0692F"/>
    <w:rsid w:val="00B23871"/>
    <w:rsid w:val="00B23B5C"/>
    <w:rsid w:val="00B34379"/>
    <w:rsid w:val="00B37AE2"/>
    <w:rsid w:val="00B426D8"/>
    <w:rsid w:val="00B428E6"/>
    <w:rsid w:val="00B45B34"/>
    <w:rsid w:val="00B51CC5"/>
    <w:rsid w:val="00B51ED5"/>
    <w:rsid w:val="00B543A6"/>
    <w:rsid w:val="00B61FB4"/>
    <w:rsid w:val="00B7252F"/>
    <w:rsid w:val="00B85156"/>
    <w:rsid w:val="00B96CFA"/>
    <w:rsid w:val="00BB37BF"/>
    <w:rsid w:val="00BB6F4D"/>
    <w:rsid w:val="00BC17DB"/>
    <w:rsid w:val="00BC2186"/>
    <w:rsid w:val="00BC2678"/>
    <w:rsid w:val="00BC358B"/>
    <w:rsid w:val="00BD1F2F"/>
    <w:rsid w:val="00BE3F35"/>
    <w:rsid w:val="00BE41B6"/>
    <w:rsid w:val="00BF2968"/>
    <w:rsid w:val="00BF382C"/>
    <w:rsid w:val="00C00C1E"/>
    <w:rsid w:val="00C03B50"/>
    <w:rsid w:val="00C251E1"/>
    <w:rsid w:val="00C30684"/>
    <w:rsid w:val="00C343DF"/>
    <w:rsid w:val="00C36776"/>
    <w:rsid w:val="00C457E2"/>
    <w:rsid w:val="00C46EAB"/>
    <w:rsid w:val="00C630FE"/>
    <w:rsid w:val="00C86B34"/>
    <w:rsid w:val="00C919A4"/>
    <w:rsid w:val="00C92034"/>
    <w:rsid w:val="00CB3605"/>
    <w:rsid w:val="00CB5735"/>
    <w:rsid w:val="00CB5EFE"/>
    <w:rsid w:val="00CC2F18"/>
    <w:rsid w:val="00CC66EE"/>
    <w:rsid w:val="00CC7C21"/>
    <w:rsid w:val="00CD3485"/>
    <w:rsid w:val="00CD49BD"/>
    <w:rsid w:val="00CD6B58"/>
    <w:rsid w:val="00CD7521"/>
    <w:rsid w:val="00CE33CF"/>
    <w:rsid w:val="00CF401E"/>
    <w:rsid w:val="00CF6168"/>
    <w:rsid w:val="00D15F2F"/>
    <w:rsid w:val="00D23135"/>
    <w:rsid w:val="00D257A2"/>
    <w:rsid w:val="00D56AD4"/>
    <w:rsid w:val="00D66813"/>
    <w:rsid w:val="00D73970"/>
    <w:rsid w:val="00D75166"/>
    <w:rsid w:val="00D80316"/>
    <w:rsid w:val="00D833F0"/>
    <w:rsid w:val="00D97E4A"/>
    <w:rsid w:val="00DA524A"/>
    <w:rsid w:val="00DB07AA"/>
    <w:rsid w:val="00DB0ADD"/>
    <w:rsid w:val="00DB64AE"/>
    <w:rsid w:val="00DD048F"/>
    <w:rsid w:val="00DD2698"/>
    <w:rsid w:val="00DE2444"/>
    <w:rsid w:val="00DE344C"/>
    <w:rsid w:val="00DF678C"/>
    <w:rsid w:val="00E02A6C"/>
    <w:rsid w:val="00E02A95"/>
    <w:rsid w:val="00E11E95"/>
    <w:rsid w:val="00E12630"/>
    <w:rsid w:val="00E16218"/>
    <w:rsid w:val="00E165AE"/>
    <w:rsid w:val="00E16D7B"/>
    <w:rsid w:val="00E21D66"/>
    <w:rsid w:val="00E3143F"/>
    <w:rsid w:val="00E34580"/>
    <w:rsid w:val="00E34D57"/>
    <w:rsid w:val="00E41054"/>
    <w:rsid w:val="00E47071"/>
    <w:rsid w:val="00E47CEB"/>
    <w:rsid w:val="00E510BE"/>
    <w:rsid w:val="00E534F2"/>
    <w:rsid w:val="00E631CD"/>
    <w:rsid w:val="00E658D9"/>
    <w:rsid w:val="00E76D38"/>
    <w:rsid w:val="00E80277"/>
    <w:rsid w:val="00E81B92"/>
    <w:rsid w:val="00E827D7"/>
    <w:rsid w:val="00E86E0C"/>
    <w:rsid w:val="00EA67E6"/>
    <w:rsid w:val="00EB474C"/>
    <w:rsid w:val="00EC5314"/>
    <w:rsid w:val="00EC7E26"/>
    <w:rsid w:val="00EE4931"/>
    <w:rsid w:val="00EF30A5"/>
    <w:rsid w:val="00EF3D1F"/>
    <w:rsid w:val="00EF58AD"/>
    <w:rsid w:val="00EF720E"/>
    <w:rsid w:val="00F1325E"/>
    <w:rsid w:val="00F14625"/>
    <w:rsid w:val="00F15310"/>
    <w:rsid w:val="00F32EEC"/>
    <w:rsid w:val="00F41D77"/>
    <w:rsid w:val="00F432ED"/>
    <w:rsid w:val="00F44181"/>
    <w:rsid w:val="00F569DF"/>
    <w:rsid w:val="00F63B0A"/>
    <w:rsid w:val="00F929BD"/>
    <w:rsid w:val="00FC395A"/>
    <w:rsid w:val="00FD2314"/>
    <w:rsid w:val="00FD2856"/>
    <w:rsid w:val="00FD32B7"/>
    <w:rsid w:val="00FE129F"/>
    <w:rsid w:val="00FF64A9"/>
    <w:rsid w:val="00FF7EA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9DF"/>
  </w:style>
  <w:style w:type="paragraph" w:styleId="Heading1">
    <w:name w:val="heading 1"/>
    <w:basedOn w:val="Normal"/>
    <w:next w:val="Normal"/>
    <w:link w:val="Ttulo1Char"/>
    <w:uiPriority w:val="9"/>
    <w:qFormat/>
    <w:locked/>
    <w:rsid w:val="00D15F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Ttulo2Char"/>
    <w:uiPriority w:val="9"/>
    <w:semiHidden/>
    <w:unhideWhenUsed/>
    <w:qFormat/>
    <w:locked/>
    <w:rsid w:val="00D15F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semiHidden/>
    <w:unhideWhenUsed/>
    <w:qFormat/>
    <w:locked/>
    <w:rsid w:val="004C0E7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B0685B"/>
    <w:pPr>
      <w:spacing w:after="0" w:line="240" w:lineRule="auto"/>
    </w:pPr>
  </w:style>
  <w:style w:type="paragraph" w:customStyle="1" w:styleId="Style">
    <w:name w:val="Style"/>
    <w:rsid w:val="00B0685B"/>
    <w:pPr>
      <w:widowControl w:val="0"/>
      <w:autoSpaceDE w:val="0"/>
      <w:autoSpaceDN w:val="0"/>
      <w:adjustRightInd w:val="0"/>
      <w:spacing w:after="0" w:line="240" w:lineRule="auto"/>
    </w:pPr>
    <w:rPr>
      <w:rFonts w:ascii="TimesNewRomanPSMT" w:hAnsi="TimesNewRomanPSMT" w:eastAsiaTheme="minorEastAsia" w:cs="TimesNewRomanPSMT"/>
      <w:sz w:val="24"/>
      <w:szCs w:val="24"/>
      <w:lang w:eastAsia="zh-CN"/>
    </w:rPr>
  </w:style>
  <w:style w:type="paragraph" w:styleId="BodyTextIndent">
    <w:name w:val="Body Text Indent"/>
    <w:basedOn w:val="Normal"/>
    <w:link w:val="RecuodecorpodetextoChar"/>
    <w:uiPriority w:val="99"/>
    <w:semiHidden/>
    <w:unhideWhenUsed/>
    <w:locked/>
    <w:rsid w:val="00686763"/>
    <w:pPr>
      <w:spacing w:after="120"/>
      <w:ind w:left="283"/>
    </w:pPr>
  </w:style>
  <w:style w:type="character" w:customStyle="1" w:styleId="RecuodecorpodetextoChar">
    <w:name w:val="Recuo de corpo de texto Char"/>
    <w:basedOn w:val="DefaultParagraphFont"/>
    <w:link w:val="BodyTextIndent"/>
    <w:uiPriority w:val="99"/>
    <w:semiHidden/>
    <w:rsid w:val="00686763"/>
  </w:style>
  <w:style w:type="paragraph" w:styleId="BodyText">
    <w:name w:val="Body Text"/>
    <w:basedOn w:val="Normal"/>
    <w:link w:val="CorpodetextoChar"/>
    <w:unhideWhenUsed/>
    <w:locked/>
    <w:rsid w:val="00686763"/>
    <w:pPr>
      <w:spacing w:after="120" w:line="240" w:lineRule="auto"/>
    </w:pPr>
    <w:rPr>
      <w:rFonts w:ascii="Arial (W1)" w:eastAsia="Times New Roman" w:hAnsi="Arial (W1)" w:cs="Times New Roman"/>
      <w:sz w:val="20"/>
      <w:szCs w:val="20"/>
      <w:lang w:eastAsia="pt-BR"/>
    </w:rPr>
  </w:style>
  <w:style w:type="character" w:customStyle="1" w:styleId="CorpodetextoChar">
    <w:name w:val="Corpo de texto Char"/>
    <w:basedOn w:val="DefaultParagraphFont"/>
    <w:link w:val="BodyText"/>
    <w:rsid w:val="00686763"/>
    <w:rPr>
      <w:rFonts w:ascii="Arial (W1)" w:eastAsia="Times New Roman" w:hAnsi="Arial (W1)" w:cs="Times New Roman"/>
      <w:sz w:val="20"/>
      <w:szCs w:val="20"/>
      <w:lang w:eastAsia="pt-BR"/>
    </w:rPr>
  </w:style>
  <w:style w:type="character" w:styleId="Hyperlink">
    <w:name w:val="Hyperlink"/>
    <w:semiHidden/>
    <w:unhideWhenUsed/>
    <w:locked/>
    <w:rsid w:val="00686763"/>
    <w:rPr>
      <w:color w:val="0000FF"/>
      <w:u w:val="single"/>
    </w:rPr>
  </w:style>
  <w:style w:type="paragraph" w:styleId="ListParagraph">
    <w:name w:val="List Paragraph"/>
    <w:basedOn w:val="Normal"/>
    <w:uiPriority w:val="34"/>
    <w:qFormat/>
    <w:locked/>
    <w:rsid w:val="00B61FB4"/>
    <w:pPr>
      <w:ind w:left="720"/>
      <w:contextualSpacing/>
    </w:pPr>
  </w:style>
  <w:style w:type="character" w:customStyle="1" w:styleId="Ttulo4Char">
    <w:name w:val="Título 4 Char"/>
    <w:basedOn w:val="DefaultParagraphFont"/>
    <w:link w:val="Heading4"/>
    <w:uiPriority w:val="9"/>
    <w:semiHidden/>
    <w:rsid w:val="004C0E73"/>
    <w:rPr>
      <w:rFonts w:asciiTheme="majorHAnsi" w:eastAsiaTheme="majorEastAsia" w:hAnsiTheme="majorHAnsi" w:cstheme="majorBidi"/>
      <w:i/>
      <w:iCs/>
      <w:color w:val="2F5496" w:themeColor="accent1" w:themeShade="BF"/>
    </w:rPr>
  </w:style>
  <w:style w:type="character" w:customStyle="1" w:styleId="Ttulo1Char">
    <w:name w:val="Título 1 Char"/>
    <w:basedOn w:val="DefaultParagraphFont"/>
    <w:link w:val="Heading1"/>
    <w:uiPriority w:val="9"/>
    <w:rsid w:val="00D15F2F"/>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DefaultParagraphFont"/>
    <w:link w:val="Heading2"/>
    <w:uiPriority w:val="9"/>
    <w:semiHidden/>
    <w:rsid w:val="00D15F2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518</Words>
  <Characters>2801</Characters>
  <Application>Microsoft Office Word</Application>
  <DocSecurity>8</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Rudinei Lobo</cp:lastModifiedBy>
  <cp:revision>2</cp:revision>
  <cp:lastPrinted>2026-04-13T13:32:00Z</cp:lastPrinted>
  <dcterms:created xsi:type="dcterms:W3CDTF">2026-05-06T13:26:00Z</dcterms:created>
  <dcterms:modified xsi:type="dcterms:W3CDTF">2026-05-06T13:26:00Z</dcterms:modified>
</cp:coreProperties>
</file>