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Municipal a celebrar termo de acordo para parcelamento de débitos junto ao Fundo de Incentivo a Pesquisa AFIP.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