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suplementar no orçamento vigente no valor de R$ 375.000,00 (trezentos e setenta e cinco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