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60/2026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60/2026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ao Projeto de Lei que Modifica o inciso VI do artigo 2º do Projeto de Lei nº 60 de 16 de março de 2026 - "Dispõe sobre a vedação de atribuição de denominação a logradouros, próprios e espaços públicos municipais a pessoas condenadas por crimes de feminicídio, racismo ou corrupção, no âmbito do Município de Sumaré,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