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114/2026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ao executivo municipal para promover a abertura de crédito adicional especial no orçamento vigente no valor de R$ 64.300,00 (sessenta e quatro mil e trezentos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