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110/2026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autorização ao executivo municipal para promover a abertura de crédito adicional suplementar no orçamento vigente no valor de R$ 552.951,65(quinhentos e cinquenta e dois mil, novecentos e cinquenta e um reais e sessenta e cinco centavos),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abril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