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64554" w14:textId="77777777" w:rsidR="002A41F7" w:rsidRDefault="002A41F7" w:rsidP="00F37C4C">
      <w:pPr>
        <w:spacing w:line="240" w:lineRule="auto"/>
        <w:ind w:left="4956" w:firstLine="708"/>
        <w:jc w:val="both"/>
        <w:rPr>
          <w:sz w:val="32"/>
          <w:szCs w:val="32"/>
        </w:rPr>
      </w:pPr>
      <w:bookmarkStart w:id="0" w:name="_Hlk48817643"/>
      <w:bookmarkEnd w:id="0"/>
    </w:p>
    <w:p w14:paraId="1139F728" w14:textId="6FCD6C72" w:rsidR="00F37C4C" w:rsidRPr="00F37C4C" w:rsidRDefault="00F37C4C" w:rsidP="00F37C4C">
      <w:pPr>
        <w:spacing w:line="240" w:lineRule="auto"/>
        <w:ind w:left="4956" w:firstLine="708"/>
        <w:jc w:val="both"/>
        <w:rPr>
          <w:sz w:val="32"/>
          <w:szCs w:val="32"/>
        </w:rPr>
      </w:pPr>
      <w:r w:rsidRPr="00F37C4C">
        <w:rPr>
          <w:sz w:val="32"/>
          <w:szCs w:val="32"/>
        </w:rPr>
        <w:t>Projeto de Lei          /20</w:t>
      </w:r>
      <w:r w:rsidR="00D66EBB">
        <w:rPr>
          <w:sz w:val="32"/>
          <w:szCs w:val="32"/>
        </w:rPr>
        <w:t>20</w:t>
      </w:r>
    </w:p>
    <w:p w14:paraId="2355434E" w14:textId="553DC453" w:rsidR="00D66EBB" w:rsidRPr="002A41F7" w:rsidRDefault="00D66EBB" w:rsidP="00D66EBB">
      <w:pPr>
        <w:spacing w:line="240" w:lineRule="auto"/>
        <w:ind w:left="3540"/>
        <w:jc w:val="both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 xml:space="preserve">Autoriza o Poder Executivo </w:t>
      </w:r>
      <w:r w:rsidRPr="002A41F7">
        <w:rPr>
          <w:rFonts w:cstheme="minorHAnsi"/>
          <w:color w:val="000000"/>
          <w:sz w:val="24"/>
          <w:szCs w:val="24"/>
        </w:rPr>
        <w:t>a criar ações emergenciais destinadas ao setor cultural a serem adotadas durante o estado de calamidade pública reconhecido pelo </w:t>
      </w:r>
      <w:hyperlink r:id="rId7" w:history="1">
        <w:r w:rsidRPr="002A41F7">
          <w:rPr>
            <w:rStyle w:val="Hyperlink"/>
            <w:rFonts w:cstheme="minorHAnsi"/>
            <w:sz w:val="24"/>
            <w:szCs w:val="24"/>
          </w:rPr>
          <w:t>Decreto Legislativo nº 6, de 20 de março de 2020.</w:t>
        </w:r>
      </w:hyperlink>
      <w:r w:rsidRPr="002A41F7">
        <w:rPr>
          <w:rFonts w:cstheme="minorHAnsi"/>
          <w:sz w:val="24"/>
          <w:szCs w:val="24"/>
        </w:rPr>
        <w:t xml:space="preserve"> </w:t>
      </w:r>
    </w:p>
    <w:p w14:paraId="06A04A00" w14:textId="77777777" w:rsidR="002A41F7" w:rsidRDefault="002A41F7" w:rsidP="002A41F7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04F92FB" w14:textId="290D16F8" w:rsidR="00F37C4C" w:rsidRPr="002A41F7" w:rsidRDefault="002A41F7" w:rsidP="002A41F7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asciiTheme="majorHAnsi" w:eastAsia="Arial Unicode MS" w:hAnsiTheme="majorHAnsi" w:cstheme="majorHAnsi"/>
          <w:b/>
          <w:sz w:val="24"/>
          <w:szCs w:val="24"/>
        </w:rPr>
        <w:t>FAZ SABER</w:t>
      </w:r>
      <w:r>
        <w:rPr>
          <w:rFonts w:asciiTheme="majorHAnsi" w:eastAsia="Arial Unicode MS" w:hAnsiTheme="majorHAnsi" w:cstheme="majorHAnsi"/>
          <w:sz w:val="24"/>
          <w:szCs w:val="24"/>
        </w:rPr>
        <w:t xml:space="preserve"> que a Câmara Municipal aprovou e eu sanciona e promulga a seguinte Lei:</w:t>
      </w:r>
    </w:p>
    <w:p w14:paraId="67C6916E" w14:textId="70886BED" w:rsidR="00F37C4C" w:rsidRPr="002A41F7" w:rsidRDefault="00F37C4C" w:rsidP="000C7DDF">
      <w:pPr>
        <w:spacing w:line="240" w:lineRule="auto"/>
        <w:jc w:val="both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 xml:space="preserve">Art. 1º </w:t>
      </w:r>
      <w:r w:rsidR="00CB6717" w:rsidRPr="002A41F7">
        <w:rPr>
          <w:rFonts w:cstheme="minorHAnsi"/>
          <w:sz w:val="24"/>
          <w:szCs w:val="24"/>
        </w:rPr>
        <w:t xml:space="preserve">Autoriza o Poder Executivo </w:t>
      </w:r>
      <w:r w:rsidR="00CB6717" w:rsidRPr="002A41F7">
        <w:rPr>
          <w:rFonts w:cstheme="minorHAnsi"/>
          <w:color w:val="000000"/>
          <w:sz w:val="24"/>
          <w:szCs w:val="24"/>
        </w:rPr>
        <w:t>a criar ações emergenciais destinadas ao setor cultural a serem adotadas durante o estado de calamidade pública reconhecido pelo </w:t>
      </w:r>
      <w:hyperlink r:id="rId8" w:history="1">
        <w:r w:rsidR="00CB6717" w:rsidRPr="002A41F7">
          <w:rPr>
            <w:rStyle w:val="Hyperlink"/>
            <w:rFonts w:cstheme="minorHAnsi"/>
            <w:sz w:val="24"/>
            <w:szCs w:val="24"/>
          </w:rPr>
          <w:t>Decreto Legislativo nº 6, de 20 de março de 2020.</w:t>
        </w:r>
      </w:hyperlink>
      <w:r w:rsidR="00CB6717" w:rsidRPr="002A41F7">
        <w:rPr>
          <w:rFonts w:cstheme="minorHAnsi"/>
          <w:sz w:val="24"/>
          <w:szCs w:val="24"/>
        </w:rPr>
        <w:t xml:space="preserve"> </w:t>
      </w:r>
      <w:r w:rsidR="00D23759" w:rsidRPr="002A41F7">
        <w:rPr>
          <w:rFonts w:cstheme="minorHAnsi"/>
          <w:sz w:val="24"/>
          <w:szCs w:val="24"/>
        </w:rPr>
        <w:t>.</w:t>
      </w:r>
    </w:p>
    <w:p w14:paraId="47C61887" w14:textId="5ECFE21D" w:rsidR="00F37C4C" w:rsidRPr="002A41F7" w:rsidRDefault="00F37C4C" w:rsidP="000C7DDF">
      <w:pPr>
        <w:spacing w:line="240" w:lineRule="auto"/>
        <w:jc w:val="both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 xml:space="preserve">Art. 2º </w:t>
      </w:r>
      <w:r w:rsidR="00CB6717" w:rsidRPr="002A41F7">
        <w:rPr>
          <w:rFonts w:cstheme="minorHAnsi"/>
          <w:color w:val="000000"/>
          <w:sz w:val="24"/>
          <w:szCs w:val="24"/>
        </w:rPr>
        <w:t>Compreendem-se como trabalhador e trabalhadora da cultura as pessoas que participam de cadeia produtiva dos segmentos artísticos e culturais descritos no art. 8º desta Lei, incluídos artistas, contadores de histórias, produtores, técnicos, curadores, oficineiros e professores de escolas de arte e capoeira.</w:t>
      </w:r>
    </w:p>
    <w:p w14:paraId="24476A83" w14:textId="12989D1C" w:rsidR="00CB6717" w:rsidRPr="002A41F7" w:rsidRDefault="00F37C4C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</w:rPr>
        <w:t xml:space="preserve">Art. 3º </w:t>
      </w:r>
      <w:r w:rsidR="00CB6717" w:rsidRPr="002A41F7">
        <w:rPr>
          <w:rFonts w:asciiTheme="minorHAnsi" w:hAnsiTheme="minorHAnsi" w:cstheme="minorHAnsi"/>
          <w:color w:val="000000"/>
        </w:rPr>
        <w:t>Farão jus as ações emergenciais prevista no art. 1º desta Lei os trabalhadores e trabalhadoras da cultura com atividades interrompidas e que comprovem:</w:t>
      </w:r>
    </w:p>
    <w:p w14:paraId="62CDDA83" w14:textId="75520EEC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 - terem atuado social ou profissionalmente nas áreas artística e cultural nos 24 (vinte e quatro) meses imediatamente anteriores à data de publicação desta Lei, comprovada a atuação de forma documental ou auto declaratória;</w:t>
      </w:r>
    </w:p>
    <w:p w14:paraId="0E44B2E7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II - não terem emprego formal ativo;</w:t>
      </w:r>
    </w:p>
    <w:p w14:paraId="7C8FFD30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III - não serem titulares de benefício previdenciário ou assistencial ou beneficiários do seguro-desemprego ou de programa de transferência de renda federal, ressalvado o Programa Bolsa Família;</w:t>
      </w:r>
    </w:p>
    <w:p w14:paraId="3AF12043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IV - terem renda familiar mensal </w:t>
      </w:r>
      <w:r w:rsidRPr="002A41F7">
        <w:rPr>
          <w:rFonts w:asciiTheme="minorHAnsi" w:hAnsiTheme="minorHAnsi" w:cstheme="minorHAnsi"/>
          <w:b/>
          <w:bCs/>
          <w:color w:val="000000"/>
        </w:rPr>
        <w:t>per capita</w:t>
      </w:r>
      <w:r w:rsidRPr="002A41F7">
        <w:rPr>
          <w:rFonts w:asciiTheme="minorHAnsi" w:hAnsiTheme="minorHAnsi" w:cstheme="minorHAnsi"/>
          <w:color w:val="000000"/>
        </w:rPr>
        <w:t> de até 1/2 (meio) salário-mínimo ou renda familiar mensal total de até 3 (três) salários-mínimos, o que for maior;</w:t>
      </w:r>
    </w:p>
    <w:p w14:paraId="4F6F6DB3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V - não terem recebido, no ano de 2018, rendimentos tributáveis acima de R$ 28.559,70 (vinte e oito mil, quinhentos e cinquenta e nove reais e setenta centavos);</w:t>
      </w:r>
    </w:p>
    <w:p w14:paraId="4ABABF67" w14:textId="2E9F87BC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 xml:space="preserve">VI - estarem inscritos, com a respectiva homologação da inscrição, em, pelo menos, um dos cadastros previstos no do art. 4º desta Lei; </w:t>
      </w:r>
    </w:p>
    <w:p w14:paraId="2F2B40BD" w14:textId="72D47E10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Art 4º Farão jus ao</w:t>
      </w:r>
      <w:r w:rsidR="002A41F7">
        <w:rPr>
          <w:rFonts w:asciiTheme="minorHAnsi" w:hAnsiTheme="minorHAnsi" w:cstheme="minorHAnsi"/>
          <w:color w:val="000000"/>
        </w:rPr>
        <w:t>s</w:t>
      </w:r>
      <w:r w:rsidRPr="002A41F7">
        <w:rPr>
          <w:rFonts w:asciiTheme="minorHAnsi" w:hAnsiTheme="minorHAnsi" w:cstheme="minorHAnsi"/>
          <w:color w:val="000000"/>
        </w:rPr>
        <w:t xml:space="preserve"> benefício</w:t>
      </w:r>
      <w:r w:rsidR="002A41F7">
        <w:rPr>
          <w:rFonts w:asciiTheme="minorHAnsi" w:hAnsiTheme="minorHAnsi" w:cstheme="minorHAnsi"/>
          <w:color w:val="000000"/>
        </w:rPr>
        <w:t>s</w:t>
      </w:r>
      <w:r w:rsidRPr="002A41F7">
        <w:rPr>
          <w:rFonts w:asciiTheme="minorHAnsi" w:hAnsiTheme="minorHAnsi" w:cstheme="minorHAnsi"/>
          <w:color w:val="000000"/>
        </w:rPr>
        <w:t xml:space="preserve"> referido no </w:t>
      </w:r>
      <w:r w:rsidRPr="002A41F7">
        <w:rPr>
          <w:rFonts w:asciiTheme="minorHAnsi" w:hAnsiTheme="minorHAnsi" w:cstheme="minorHAnsi"/>
          <w:b/>
          <w:bCs/>
          <w:color w:val="000000"/>
        </w:rPr>
        <w:t>caput</w:t>
      </w:r>
      <w:r w:rsidRPr="002A41F7">
        <w:rPr>
          <w:rFonts w:asciiTheme="minorHAnsi" w:hAnsiTheme="minorHAnsi" w:cstheme="minorHAnsi"/>
          <w:color w:val="000000"/>
        </w:rPr>
        <w:t> </w:t>
      </w:r>
      <w:r w:rsidR="002A41F7">
        <w:rPr>
          <w:rFonts w:asciiTheme="minorHAnsi" w:hAnsiTheme="minorHAnsi" w:cstheme="minorHAnsi"/>
          <w:color w:val="000000"/>
        </w:rPr>
        <w:t>do</w:t>
      </w:r>
      <w:r w:rsidRPr="002A41F7">
        <w:rPr>
          <w:rFonts w:asciiTheme="minorHAnsi" w:hAnsiTheme="minorHAnsi" w:cstheme="minorHAnsi"/>
          <w:color w:val="000000"/>
        </w:rPr>
        <w:t xml:space="preserve"> artigo</w:t>
      </w:r>
      <w:r w:rsidR="002A41F7">
        <w:rPr>
          <w:rFonts w:asciiTheme="minorHAnsi" w:hAnsiTheme="minorHAnsi" w:cstheme="minorHAnsi"/>
          <w:color w:val="000000"/>
        </w:rPr>
        <w:t xml:space="preserve"> 1º</w:t>
      </w:r>
      <w:r w:rsidRPr="002A41F7">
        <w:rPr>
          <w:rFonts w:asciiTheme="minorHAnsi" w:hAnsiTheme="minorHAnsi" w:cstheme="minorHAnsi"/>
          <w:color w:val="000000"/>
        </w:rPr>
        <w:t xml:space="preserve"> os espaços culturais e artísticos, microempresas e pequenas empresas culturais, organizações culturais comunitárias, cooperativas e instituições culturais com atividades interrompidas, que devem comprovar sua inscrição e a respectiva homologação em, pelo menos, um dos seguintes cadastros:</w:t>
      </w:r>
    </w:p>
    <w:p w14:paraId="295F677B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 - Cadastros Estaduais de Cultura;</w:t>
      </w:r>
    </w:p>
    <w:p w14:paraId="4C11A4D6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lastRenderedPageBreak/>
        <w:t>II - Cadastros Municipais de Cultura;</w:t>
      </w:r>
    </w:p>
    <w:p w14:paraId="5BED86B3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III - Cadastro Distrital de Cultura;</w:t>
      </w:r>
    </w:p>
    <w:p w14:paraId="42555C84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IV - Cadastro Nacional de Pontos e Pontões de Cultura;</w:t>
      </w:r>
    </w:p>
    <w:p w14:paraId="5FCB0579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V - Cadastros Estaduais de Pontos e Pontões de Cultura;</w:t>
      </w:r>
    </w:p>
    <w:p w14:paraId="0A9DE4C7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VI - Sistema Nacional de Informações e Indicadores Culturais (Sniic);</w:t>
      </w:r>
    </w:p>
    <w:p w14:paraId="665E5665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VII - Sistema de Informações Cadastrais do Artesanato Brasileiro (Sicab);</w:t>
      </w:r>
    </w:p>
    <w:p w14:paraId="311BCB53" w14:textId="7636FD22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§ 3º O</w:t>
      </w:r>
      <w:r w:rsidR="002A41F7">
        <w:rPr>
          <w:rFonts w:asciiTheme="minorHAnsi" w:hAnsiTheme="minorHAnsi" w:cstheme="minorHAnsi"/>
          <w:color w:val="000000"/>
        </w:rPr>
        <w:t>s</w:t>
      </w:r>
      <w:r w:rsidRPr="002A41F7">
        <w:rPr>
          <w:rFonts w:asciiTheme="minorHAnsi" w:hAnsiTheme="minorHAnsi" w:cstheme="minorHAnsi"/>
          <w:color w:val="000000"/>
        </w:rPr>
        <w:t xml:space="preserve"> benefício de que trata o </w:t>
      </w:r>
      <w:r w:rsidRPr="002A41F7">
        <w:rPr>
          <w:rFonts w:asciiTheme="minorHAnsi" w:hAnsiTheme="minorHAnsi" w:cstheme="minorHAnsi"/>
          <w:b/>
          <w:bCs/>
          <w:color w:val="000000"/>
        </w:rPr>
        <w:t>caput</w:t>
      </w:r>
      <w:r w:rsidRPr="002A41F7">
        <w:rPr>
          <w:rFonts w:asciiTheme="minorHAnsi" w:hAnsiTheme="minorHAnsi" w:cstheme="minorHAnsi"/>
          <w:color w:val="000000"/>
        </w:rPr>
        <w:t> </w:t>
      </w:r>
      <w:r w:rsidR="00D66EBB" w:rsidRPr="002A41F7">
        <w:rPr>
          <w:rFonts w:asciiTheme="minorHAnsi" w:hAnsiTheme="minorHAnsi" w:cstheme="minorHAnsi"/>
          <w:color w:val="000000"/>
        </w:rPr>
        <w:t xml:space="preserve">do </w:t>
      </w:r>
      <w:r w:rsidRPr="002A41F7">
        <w:rPr>
          <w:rFonts w:asciiTheme="minorHAnsi" w:hAnsiTheme="minorHAnsi" w:cstheme="minorHAnsi"/>
          <w:color w:val="000000"/>
        </w:rPr>
        <w:t>artigo</w:t>
      </w:r>
      <w:r w:rsidR="00D66EBB" w:rsidRPr="002A41F7">
        <w:rPr>
          <w:rFonts w:asciiTheme="minorHAnsi" w:hAnsiTheme="minorHAnsi" w:cstheme="minorHAnsi"/>
          <w:color w:val="000000"/>
        </w:rPr>
        <w:t xml:space="preserve"> 1º</w:t>
      </w:r>
      <w:r w:rsidRPr="002A41F7">
        <w:rPr>
          <w:rFonts w:asciiTheme="minorHAnsi" w:hAnsiTheme="minorHAnsi" w:cstheme="minorHAnsi"/>
          <w:color w:val="000000"/>
        </w:rPr>
        <w:t xml:space="preserve"> somente será concedido para a gestão responsável pelo espaço cultural, vedado o recebimento cumulativo, mesmo que o beneficiário esteja inscrito em mais de um cadastro  ou seja responsável por mais de um espaço cultural.</w:t>
      </w:r>
    </w:p>
    <w:p w14:paraId="0AEDF523" w14:textId="6986D399" w:rsidR="000C7DDF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bookmarkStart w:id="1" w:name="art8"/>
      <w:bookmarkEnd w:id="1"/>
      <w:r w:rsidRPr="002A41F7">
        <w:rPr>
          <w:rFonts w:asciiTheme="minorHAnsi" w:hAnsiTheme="minorHAnsi" w:cstheme="minorHAnsi"/>
          <w:color w:val="000000"/>
        </w:rPr>
        <w:t xml:space="preserve">Art. </w:t>
      </w:r>
      <w:r w:rsidR="002A41F7" w:rsidRPr="002A41F7">
        <w:rPr>
          <w:rFonts w:asciiTheme="minorHAnsi" w:hAnsiTheme="minorHAnsi" w:cstheme="minorHAnsi"/>
          <w:color w:val="000000"/>
        </w:rPr>
        <w:t>5</w:t>
      </w:r>
      <w:r w:rsidRPr="002A41F7">
        <w:rPr>
          <w:rFonts w:asciiTheme="minorHAnsi" w:hAnsiTheme="minorHAnsi" w:cstheme="minorHAnsi"/>
          <w:color w:val="000000"/>
        </w:rPr>
        <w:t>º</w:t>
      </w:r>
      <w:r w:rsidRPr="002A41F7">
        <w:rPr>
          <w:rFonts w:asciiTheme="minorHAnsi" w:hAnsiTheme="minorHAnsi" w:cstheme="minorHAnsi"/>
          <w:b/>
          <w:bCs/>
          <w:color w:val="000000"/>
        </w:rPr>
        <w:t> </w:t>
      </w:r>
      <w:r w:rsidRPr="002A41F7">
        <w:rPr>
          <w:rFonts w:asciiTheme="minorHAnsi" w:hAnsiTheme="minorHAnsi" w:cstheme="minorHAnsi"/>
          <w:color w:val="000000"/>
        </w:rPr>
        <w:t>Compreendem-se como espaços culturais todos aqueles organizados e mantidos por pessoas, organizações da sociedade civil, empresas culturais, organizações culturais comunitárias, cooperativas com finalidade cultural e instituições culturais, com ou sem fins lucrativos, que sejam dedicados a realizar atividades artísticas e culturais, tais como:</w:t>
      </w:r>
    </w:p>
    <w:p w14:paraId="3B8DF998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 - pontos e pontões de cultura;</w:t>
      </w:r>
    </w:p>
    <w:p w14:paraId="50AD1588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II - teatros independentes;</w:t>
      </w:r>
    </w:p>
    <w:p w14:paraId="1B1FF007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III - escolas de música, de capoeira e de artes e estúdios, companhias e escolas de dança;</w:t>
      </w:r>
    </w:p>
    <w:p w14:paraId="33480C6B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IV - circos;</w:t>
      </w:r>
    </w:p>
    <w:p w14:paraId="6E113079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V - cineclubes;</w:t>
      </w:r>
    </w:p>
    <w:p w14:paraId="247D765D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VI - centros culturais, casas de cultura e centros de tradição regionais;</w:t>
      </w:r>
    </w:p>
    <w:p w14:paraId="7C32908B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VII - museus comunitários, centros de memória e patrimônio;</w:t>
      </w:r>
    </w:p>
    <w:p w14:paraId="3AE01EA1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VIII - bibliotecas comunitárias;</w:t>
      </w:r>
    </w:p>
    <w:p w14:paraId="4303E353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IX - espaços culturais em comunidades indígenas;</w:t>
      </w:r>
    </w:p>
    <w:p w14:paraId="0734C305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 - centros artísticos e culturais afro-brasileiros;</w:t>
      </w:r>
    </w:p>
    <w:p w14:paraId="0E2A3E75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XI - comunidades quilombolas;</w:t>
      </w:r>
    </w:p>
    <w:p w14:paraId="05AAC55B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XII - espaços de povos e comunidades tradicionais;</w:t>
      </w:r>
    </w:p>
    <w:p w14:paraId="0361E60A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XIII - festas populares, inclusive o carnaval e o São João, e outras de caráter regional;</w:t>
      </w:r>
    </w:p>
    <w:p w14:paraId="5DC2C707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XIV - teatro de rua e demais expressões artísticas e culturais realizadas em espaços públicos;</w:t>
      </w:r>
    </w:p>
    <w:p w14:paraId="145A36A1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XV - livrarias, editoras e sebos;</w:t>
      </w:r>
    </w:p>
    <w:p w14:paraId="63EE8538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lastRenderedPageBreak/>
        <w:t>XVI - empresas de diversão e produção de espetáculos;</w:t>
      </w:r>
    </w:p>
    <w:p w14:paraId="5079A12A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XVII - estúdios de fotografia;</w:t>
      </w:r>
    </w:p>
    <w:p w14:paraId="6528B0B5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XVIII - produtoras de cinema e audiovisual;</w:t>
      </w:r>
    </w:p>
    <w:p w14:paraId="650FF189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XIX - ateliês de pintura, moda, </w:t>
      </w:r>
      <w:r w:rsidRPr="002A41F7">
        <w:rPr>
          <w:rFonts w:asciiTheme="minorHAnsi" w:hAnsiTheme="minorHAnsi" w:cstheme="minorHAnsi"/>
          <w:b/>
          <w:bCs/>
          <w:color w:val="000000"/>
        </w:rPr>
        <w:t>design</w:t>
      </w:r>
      <w:r w:rsidRPr="002A41F7">
        <w:rPr>
          <w:rFonts w:asciiTheme="minorHAnsi" w:hAnsiTheme="minorHAnsi" w:cstheme="minorHAnsi"/>
          <w:color w:val="000000"/>
        </w:rPr>
        <w:t> e artesanato;</w:t>
      </w:r>
    </w:p>
    <w:p w14:paraId="2FB1F02F" w14:textId="2406AE86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 xml:space="preserve">XX - </w:t>
      </w:r>
      <w:r w:rsidR="002A41F7" w:rsidRPr="002A41F7">
        <w:rPr>
          <w:rFonts w:asciiTheme="minorHAnsi" w:hAnsiTheme="minorHAnsi" w:cstheme="minorHAnsi"/>
          <w:color w:val="000000"/>
        </w:rPr>
        <w:t>Galerias</w:t>
      </w:r>
      <w:r w:rsidRPr="002A41F7">
        <w:rPr>
          <w:rFonts w:asciiTheme="minorHAnsi" w:hAnsiTheme="minorHAnsi" w:cstheme="minorHAnsi"/>
          <w:color w:val="000000"/>
        </w:rPr>
        <w:t xml:space="preserve"> de arte e de fotografias;</w:t>
      </w:r>
    </w:p>
    <w:p w14:paraId="585805A0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XXI - feiras de arte e de artesanato;</w:t>
      </w:r>
    </w:p>
    <w:p w14:paraId="43DCC110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XXII - espaços de apresentação musical;</w:t>
      </w:r>
    </w:p>
    <w:p w14:paraId="06E758E9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XXIII - espaços de literatura, poesia e literatura de cordel;</w:t>
      </w:r>
    </w:p>
    <w:p w14:paraId="744A8ACE" w14:textId="77777777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XXIV - espaços e centros de cultura alimentar de base comunitária, agroecológica e de culturas originárias, tradicionais e populares;</w:t>
      </w:r>
    </w:p>
    <w:p w14:paraId="6ABBE876" w14:textId="603D1539" w:rsidR="00CB6717" w:rsidRPr="002A41F7" w:rsidRDefault="00CB6717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 xml:space="preserve">XXV - outros espaços e atividades artísticos e culturais validados nos cadastros aos quais se refere o art. </w:t>
      </w:r>
      <w:r w:rsidR="002A41F7">
        <w:rPr>
          <w:rFonts w:asciiTheme="minorHAnsi" w:hAnsiTheme="minorHAnsi" w:cstheme="minorHAnsi"/>
          <w:color w:val="000000"/>
        </w:rPr>
        <w:t>5</w:t>
      </w:r>
      <w:r w:rsidRPr="002A41F7">
        <w:rPr>
          <w:rFonts w:asciiTheme="minorHAnsi" w:hAnsiTheme="minorHAnsi" w:cstheme="minorHAnsi"/>
          <w:color w:val="000000"/>
        </w:rPr>
        <w:t>º desta Lei.</w:t>
      </w:r>
    </w:p>
    <w:p w14:paraId="447052E9" w14:textId="4E290BAC" w:rsidR="000C7DDF" w:rsidRPr="002A41F7" w:rsidRDefault="000C7DDF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>Parágrafo único. Fica vedada a concessão do</w:t>
      </w:r>
      <w:r w:rsidR="002A41F7">
        <w:rPr>
          <w:rFonts w:asciiTheme="minorHAnsi" w:hAnsiTheme="minorHAnsi" w:cstheme="minorHAnsi"/>
          <w:color w:val="000000"/>
        </w:rPr>
        <w:t>s</w:t>
      </w:r>
      <w:r w:rsidRPr="002A41F7">
        <w:rPr>
          <w:rFonts w:asciiTheme="minorHAnsi" w:hAnsiTheme="minorHAnsi" w:cstheme="minorHAnsi"/>
          <w:color w:val="000000"/>
        </w:rPr>
        <w:t xml:space="preserve"> benefício</w:t>
      </w:r>
      <w:r w:rsidR="002A41F7">
        <w:rPr>
          <w:rFonts w:asciiTheme="minorHAnsi" w:hAnsiTheme="minorHAnsi" w:cstheme="minorHAnsi"/>
          <w:color w:val="000000"/>
        </w:rPr>
        <w:t>s</w:t>
      </w:r>
      <w:r w:rsidRPr="002A41F7">
        <w:rPr>
          <w:rFonts w:asciiTheme="minorHAnsi" w:hAnsiTheme="minorHAnsi" w:cstheme="minorHAnsi"/>
          <w:color w:val="000000"/>
        </w:rPr>
        <w:t xml:space="preserve"> a que se refere o art. 1º desta Lei a espaços culturais criados pela administração pública de qualquer esfera ou vinculados a ela, bem como a espaços culturais vinculados a fundações, a institutos ou instituições criados ou mantidos por grupos de empresas, a teatros e casas de espetáculos de diversões com financiamento exclusivo de grupos empresariais e a espaços geridos pelos serviços sociais do Sistema S.</w:t>
      </w:r>
    </w:p>
    <w:p w14:paraId="2A6447D9" w14:textId="1B459482" w:rsidR="000C7DDF" w:rsidRPr="002A41F7" w:rsidRDefault="000C7DDF" w:rsidP="000C7DDF">
      <w:pPr>
        <w:pStyle w:val="NormalWeb"/>
        <w:spacing w:before="225" w:beforeAutospacing="0" w:after="225" w:afterAutospacing="0"/>
        <w:jc w:val="both"/>
        <w:rPr>
          <w:rFonts w:asciiTheme="minorHAnsi" w:hAnsiTheme="minorHAnsi" w:cstheme="minorHAnsi"/>
          <w:color w:val="000000"/>
        </w:rPr>
      </w:pPr>
      <w:r w:rsidRPr="002A41F7">
        <w:rPr>
          <w:rFonts w:asciiTheme="minorHAnsi" w:hAnsiTheme="minorHAnsi" w:cstheme="minorHAnsi"/>
          <w:color w:val="000000"/>
        </w:rPr>
        <w:t xml:space="preserve">Art. </w:t>
      </w:r>
      <w:r w:rsidR="002A41F7" w:rsidRPr="002A41F7">
        <w:rPr>
          <w:rFonts w:asciiTheme="minorHAnsi" w:hAnsiTheme="minorHAnsi" w:cstheme="minorHAnsi"/>
          <w:color w:val="000000"/>
        </w:rPr>
        <w:t>6</w:t>
      </w:r>
      <w:r w:rsidRPr="002A41F7">
        <w:rPr>
          <w:rFonts w:asciiTheme="minorHAnsi" w:hAnsiTheme="minorHAnsi" w:cstheme="minorHAnsi"/>
          <w:color w:val="000000"/>
        </w:rPr>
        <w:t>º Os espaços culturais e artísticos, as empresas culturais e organizações culturais comunitárias, as cooperativas e as instituições beneficiadas com o com o que se refere art. 1º desta Lei ficarão obrigados a garantir como contrapartida, após o reinício de suas atividades, a realização de atividades destinadas, prioritariamente, aos alunos de escolas públicas ou de atividades em espaços públicos de sua comunidade, de forma gratuita, em intervalos regulares, em cooperação e planejamento definido com o município e pelo setor responsável pela gestão pública de cultura do local.</w:t>
      </w:r>
    </w:p>
    <w:p w14:paraId="4E728B0F" w14:textId="52C733CB" w:rsidR="00F37C4C" w:rsidRPr="002A41F7" w:rsidRDefault="00F37C4C" w:rsidP="000C7DD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B4D8EED" w14:textId="72F319A5" w:rsidR="00F37C4C" w:rsidRPr="002A41F7" w:rsidRDefault="00F37C4C" w:rsidP="000C7DDF">
      <w:pPr>
        <w:spacing w:line="240" w:lineRule="auto"/>
        <w:jc w:val="both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 xml:space="preserve">Art. </w:t>
      </w:r>
      <w:r w:rsidR="002A41F7" w:rsidRPr="002A41F7">
        <w:rPr>
          <w:rFonts w:cstheme="minorHAnsi"/>
          <w:sz w:val="24"/>
          <w:szCs w:val="24"/>
        </w:rPr>
        <w:t>7</w:t>
      </w:r>
      <w:r w:rsidRPr="002A41F7">
        <w:rPr>
          <w:rFonts w:cstheme="minorHAnsi"/>
          <w:sz w:val="24"/>
          <w:szCs w:val="24"/>
        </w:rPr>
        <w:t>º Esta Lei entra em vigor na data de sua publicação.</w:t>
      </w:r>
    </w:p>
    <w:p w14:paraId="0970D0B9" w14:textId="77777777" w:rsidR="00F37C4C" w:rsidRPr="002A41F7" w:rsidRDefault="00F37C4C" w:rsidP="00F37C4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8040CA4" w14:textId="21C3F18B" w:rsidR="00F37C4C" w:rsidRPr="002A41F7" w:rsidRDefault="00F37C4C" w:rsidP="00F37C4C">
      <w:pPr>
        <w:spacing w:line="240" w:lineRule="auto"/>
        <w:jc w:val="both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 xml:space="preserve">Sala das Sessões, </w:t>
      </w:r>
      <w:r w:rsidR="002A41F7">
        <w:rPr>
          <w:rFonts w:cstheme="minorHAnsi"/>
          <w:sz w:val="24"/>
          <w:szCs w:val="24"/>
        </w:rPr>
        <w:t>20</w:t>
      </w:r>
      <w:r w:rsidRPr="002A41F7">
        <w:rPr>
          <w:rFonts w:cstheme="minorHAnsi"/>
          <w:sz w:val="24"/>
          <w:szCs w:val="24"/>
        </w:rPr>
        <w:t xml:space="preserve"> </w:t>
      </w:r>
      <w:r w:rsidR="002A41F7">
        <w:rPr>
          <w:rFonts w:cstheme="minorHAnsi"/>
          <w:sz w:val="24"/>
          <w:szCs w:val="24"/>
        </w:rPr>
        <w:t xml:space="preserve">Agosto </w:t>
      </w:r>
      <w:r w:rsidRPr="002A41F7">
        <w:rPr>
          <w:rFonts w:cstheme="minorHAnsi"/>
          <w:sz w:val="24"/>
          <w:szCs w:val="24"/>
        </w:rPr>
        <w:t>de 20</w:t>
      </w:r>
      <w:r w:rsidR="002A41F7">
        <w:rPr>
          <w:rFonts w:cstheme="minorHAnsi"/>
          <w:sz w:val="24"/>
          <w:szCs w:val="24"/>
        </w:rPr>
        <w:t>20</w:t>
      </w:r>
    </w:p>
    <w:p w14:paraId="5E65DBB3" w14:textId="1B3046F4" w:rsidR="00F37C4C" w:rsidRPr="002A41F7" w:rsidRDefault="00F37C4C" w:rsidP="00F37C4C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50B2F5CE" w14:textId="261EAF32" w:rsidR="002A41F7" w:rsidRPr="002A41F7" w:rsidRDefault="002A41F7" w:rsidP="002A41F7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CD1CBDB" wp14:editId="3B4AB2ED">
            <wp:simplePos x="0" y="0"/>
            <wp:positionH relativeFrom="page">
              <wp:align>center</wp:align>
            </wp:positionH>
            <wp:positionV relativeFrom="paragraph">
              <wp:posOffset>45720</wp:posOffset>
            </wp:positionV>
            <wp:extent cx="1466850" cy="1125064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125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51216" w14:textId="732BB105" w:rsidR="00F37C4C" w:rsidRPr="002A41F7" w:rsidRDefault="00F37C4C" w:rsidP="00F37C4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E33042D" w14:textId="363419D3" w:rsidR="002A41F7" w:rsidRPr="002A41F7" w:rsidRDefault="002A41F7" w:rsidP="00F37C4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7CF87A7" w14:textId="77777777" w:rsidR="002A41F7" w:rsidRPr="002A41F7" w:rsidRDefault="002A41F7" w:rsidP="00F37C4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4B3C63D" w14:textId="77777777" w:rsidR="00F37C4C" w:rsidRPr="002A41F7" w:rsidRDefault="00F37C4C" w:rsidP="00F37C4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40C4E39" w14:textId="23295EDC" w:rsidR="00F37C4C" w:rsidRPr="002A41F7" w:rsidRDefault="00F37C4C" w:rsidP="00F37C4C">
      <w:pPr>
        <w:spacing w:line="240" w:lineRule="auto"/>
        <w:jc w:val="center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>JUSTIFICA</w:t>
      </w:r>
      <w:r w:rsidR="00D66EBB" w:rsidRPr="002A41F7">
        <w:rPr>
          <w:rFonts w:cstheme="minorHAnsi"/>
          <w:sz w:val="24"/>
          <w:szCs w:val="24"/>
        </w:rPr>
        <w:t>TIVA</w:t>
      </w:r>
    </w:p>
    <w:p w14:paraId="5EE3625C" w14:textId="77777777" w:rsidR="000C7DDF" w:rsidRPr="002A41F7" w:rsidRDefault="000C7DDF" w:rsidP="00F37C4C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69DFF695" w14:textId="54745425" w:rsidR="000C7DDF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>É fato que desde o inicio desta pandemia muitos setores sofrem com a crise principalmente a área comercial, mas uma das mais prejudicas até o momento foi a área da cultura e lazer.</w:t>
      </w:r>
    </w:p>
    <w:p w14:paraId="2251BCD8" w14:textId="09EA57A6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>O setor de entretenimento foi o primeiro a fechar as portas é será o ultimo a abrir muitas empresas do setor fecharam as portas e outras estão por quase assim fazer.</w:t>
      </w:r>
    </w:p>
    <w:p w14:paraId="1499666E" w14:textId="3E02DC46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>Vale lembrar que os espaços culturais além de trazer entretenimento também traz a saúde mental dos munícipes.</w:t>
      </w:r>
    </w:p>
    <w:p w14:paraId="3A1675C1" w14:textId="748110B9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>Visando a saúde tanto cultural como financeira desta área por isso trazemos aos nobres pares esta propositura.</w:t>
      </w:r>
    </w:p>
    <w:p w14:paraId="166B8631" w14:textId="4148CF56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 xml:space="preserve">Com a iniciativa de tentar ajudar uma das áreas que mais tem sofrido nos últimos </w:t>
      </w:r>
      <w:r w:rsidR="002A41F7" w:rsidRPr="002A41F7">
        <w:rPr>
          <w:rFonts w:cstheme="minorHAnsi"/>
          <w:sz w:val="24"/>
          <w:szCs w:val="24"/>
        </w:rPr>
        <w:t>anos.</w:t>
      </w:r>
    </w:p>
    <w:p w14:paraId="3E24DA87" w14:textId="13A040B7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 xml:space="preserve">Desde peço aos nobres pares a aprovação desta lei </w:t>
      </w:r>
    </w:p>
    <w:p w14:paraId="05DF6E59" w14:textId="6798F2D8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</w:p>
    <w:p w14:paraId="71A9303E" w14:textId="02ACAA52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</w:p>
    <w:p w14:paraId="60471DCF" w14:textId="77777777" w:rsidR="002A41F7" w:rsidRPr="002A41F7" w:rsidRDefault="002A41F7" w:rsidP="002A41F7">
      <w:pPr>
        <w:spacing w:line="240" w:lineRule="auto"/>
        <w:jc w:val="both"/>
        <w:rPr>
          <w:rFonts w:cstheme="minorHAnsi"/>
          <w:sz w:val="24"/>
          <w:szCs w:val="24"/>
        </w:rPr>
      </w:pPr>
      <w:r w:rsidRPr="002A41F7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>20</w:t>
      </w:r>
      <w:r w:rsidRPr="002A41F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Agosto </w:t>
      </w:r>
      <w:r w:rsidRPr="002A41F7">
        <w:rPr>
          <w:rFonts w:cstheme="minorHAnsi"/>
          <w:sz w:val="24"/>
          <w:szCs w:val="24"/>
        </w:rPr>
        <w:t>de 20</w:t>
      </w:r>
      <w:r>
        <w:rPr>
          <w:rFonts w:cstheme="minorHAnsi"/>
          <w:sz w:val="24"/>
          <w:szCs w:val="24"/>
        </w:rPr>
        <w:t>20</w:t>
      </w:r>
    </w:p>
    <w:p w14:paraId="234F6A37" w14:textId="66649AD1" w:rsidR="002A41F7" w:rsidRPr="002A41F7" w:rsidRDefault="002A41F7" w:rsidP="002A41F7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4D251C63" w14:textId="46E9888C" w:rsidR="00D66EBB" w:rsidRPr="002A41F7" w:rsidRDefault="00D66EBB" w:rsidP="00D66EBB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350EBF91" w14:textId="201C8025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</w:p>
    <w:p w14:paraId="1DAAA22F" w14:textId="3CFE0BC3" w:rsidR="00D66EBB" w:rsidRPr="002A41F7" w:rsidRDefault="00D66EBB" w:rsidP="00D66EBB">
      <w:pPr>
        <w:spacing w:line="240" w:lineRule="auto"/>
        <w:rPr>
          <w:rFonts w:cstheme="minorHAnsi"/>
          <w:sz w:val="24"/>
          <w:szCs w:val="24"/>
        </w:rPr>
      </w:pPr>
    </w:p>
    <w:p w14:paraId="75ED3FEE" w14:textId="5B0DBBC8" w:rsidR="000C7DDF" w:rsidRPr="002A41F7" w:rsidRDefault="002A41F7" w:rsidP="00F37C4C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BF1E67F" wp14:editId="63DDD6AC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543221" cy="11836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221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22430" w14:textId="77777777" w:rsidR="000C7DDF" w:rsidRPr="000C7DDF" w:rsidRDefault="000C7DDF" w:rsidP="00F37C4C">
      <w:pPr>
        <w:spacing w:line="240" w:lineRule="auto"/>
        <w:jc w:val="center"/>
        <w:rPr>
          <w:rFonts w:cstheme="minorHAnsi"/>
          <w:sz w:val="24"/>
          <w:szCs w:val="24"/>
        </w:rPr>
      </w:pPr>
    </w:p>
    <w:sectPr w:rsidR="000C7DDF" w:rsidRPr="000C7DDF" w:rsidSect="00D23759">
      <w:headerReference w:type="default" r:id="rId11"/>
      <w:pgSz w:w="11906" w:h="16838"/>
      <w:pgMar w:top="1276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7B606" w14:textId="77777777" w:rsidR="00637AE3" w:rsidRDefault="00637AE3" w:rsidP="00637AE3">
      <w:pPr>
        <w:spacing w:after="0" w:line="240" w:lineRule="auto"/>
      </w:pPr>
      <w:r>
        <w:separator/>
      </w:r>
    </w:p>
  </w:endnote>
  <w:endnote w:type="continuationSeparator" w:id="0">
    <w:p w14:paraId="560A45CA" w14:textId="77777777" w:rsidR="00637AE3" w:rsidRDefault="00637AE3" w:rsidP="00637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89859" w14:textId="77777777" w:rsidR="00637AE3" w:rsidRDefault="00637AE3" w:rsidP="00637AE3">
      <w:pPr>
        <w:spacing w:after="0" w:line="240" w:lineRule="auto"/>
      </w:pPr>
      <w:r>
        <w:separator/>
      </w:r>
    </w:p>
  </w:footnote>
  <w:footnote w:type="continuationSeparator" w:id="0">
    <w:p w14:paraId="449D1421" w14:textId="77777777" w:rsidR="00637AE3" w:rsidRDefault="00637AE3" w:rsidP="00637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F0293" w14:textId="43142A72" w:rsidR="00637AE3" w:rsidRDefault="00637AE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AD20D7" wp14:editId="1D74F2F4">
          <wp:simplePos x="0" y="0"/>
          <wp:positionH relativeFrom="margin">
            <wp:posOffset>5776595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4C"/>
    <w:rsid w:val="000C7DDF"/>
    <w:rsid w:val="001D69CF"/>
    <w:rsid w:val="002A41F7"/>
    <w:rsid w:val="00415A9E"/>
    <w:rsid w:val="00637AE3"/>
    <w:rsid w:val="008F752B"/>
    <w:rsid w:val="00CB6717"/>
    <w:rsid w:val="00D23759"/>
    <w:rsid w:val="00D66EBB"/>
    <w:rsid w:val="00F3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0FD53"/>
  <w15:chartTrackingRefBased/>
  <w15:docId w15:val="{196478ED-9B18-4364-A87C-15858CF0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B671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B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7A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7AE3"/>
  </w:style>
  <w:style w:type="paragraph" w:styleId="Rodap">
    <w:name w:val="footer"/>
    <w:basedOn w:val="Normal"/>
    <w:link w:val="RodapChar"/>
    <w:uiPriority w:val="99"/>
    <w:unhideWhenUsed/>
    <w:rsid w:val="00637A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7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Portaria/DLG6-2020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Portaria/DLG6-2020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B977-3A20-4DFC-A136-2BDAAB86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1049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Rudinei Lobo</dc:creator>
  <cp:keywords/>
  <dc:description/>
  <cp:lastModifiedBy>Eliane</cp:lastModifiedBy>
  <cp:revision>3</cp:revision>
  <dcterms:created xsi:type="dcterms:W3CDTF">2020-08-20T15:08:00Z</dcterms:created>
  <dcterms:modified xsi:type="dcterms:W3CDTF">2020-08-20T17:15:00Z</dcterms:modified>
</cp:coreProperties>
</file>