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2/2026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VEREADORES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acréscimo do §3º ao artigo 54 da Resolução nº 311, de 16 de dezembro de 2020 (Regimento Interno da Câmara Municipal de Sumaré).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abril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48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4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