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103/2026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Autoriza a revisão geral anual aos servidores públicos municipais, altera dispositivos que menciona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23 de abril de 2026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