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23 de abril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100/2026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100/2026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as Diretrizes Orçamentarias (LDO) para o exercício financeiro de 2027 e dá outras providencias.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