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15CE69E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F223D">
        <w:rPr>
          <w:rFonts w:ascii="Tahoma" w:hAnsi="Tahoma" w:cs="Tahoma"/>
          <w:b/>
          <w:bCs/>
          <w:sz w:val="24"/>
          <w:szCs w:val="24"/>
        </w:rPr>
        <w:t xml:space="preserve">Operação tapa-buraco na Rua Balbina </w:t>
      </w:r>
      <w:r w:rsidRPr="005F223D">
        <w:rPr>
          <w:rFonts w:ascii="Tahoma" w:hAnsi="Tahoma" w:cs="Tahoma"/>
          <w:b/>
          <w:bCs/>
          <w:sz w:val="24"/>
          <w:szCs w:val="24"/>
        </w:rPr>
        <w:t>Blumer</w:t>
      </w:r>
      <w:r w:rsidRPr="005F223D">
        <w:rPr>
          <w:rFonts w:ascii="Tahoma" w:hAnsi="Tahoma" w:cs="Tahoma"/>
          <w:b/>
          <w:bCs/>
          <w:sz w:val="24"/>
          <w:szCs w:val="24"/>
        </w:rPr>
        <w:t xml:space="preserve"> Hoffman, esquina com a Rua Luiz da Silva Azevedo,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6911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47B0B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2026-04-22T16:28:00Z</dcterms:created>
  <dcterms:modified xsi:type="dcterms:W3CDTF">2026-04-22T16:28:00Z</dcterms:modified>
</cp:coreProperties>
</file>