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as Diretrizes Orçamentarias (LDO) para o exercício financeiro de 2027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