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2A19CC1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483CDE">
        <w:rPr>
          <w:rFonts w:ascii="Tahoma" w:hAnsi="Tahoma" w:cs="Tahoma"/>
          <w:b/>
          <w:bCs/>
          <w:sz w:val="24"/>
          <w:szCs w:val="24"/>
        </w:rPr>
        <w:t>Antonio</w:t>
      </w:r>
      <w:r w:rsidR="00483CDE">
        <w:rPr>
          <w:rFonts w:ascii="Tahoma" w:hAnsi="Tahoma" w:cs="Tahoma"/>
          <w:b/>
          <w:bCs/>
          <w:sz w:val="24"/>
          <w:szCs w:val="24"/>
        </w:rPr>
        <w:t xml:space="preserve"> Denadai em frente ao nº330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483CDE">
        <w:rPr>
          <w:rFonts w:ascii="Tahoma" w:hAnsi="Tahoma" w:cs="Tahoma"/>
          <w:b/>
          <w:bCs/>
          <w:sz w:val="24"/>
          <w:szCs w:val="24"/>
        </w:rPr>
        <w:t>das Palmeiras</w:t>
      </w:r>
      <w:r w:rsidR="00F80C1B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1ED9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3CDE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7E8F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6457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B52FD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0C1B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2026-04-13T14:52:00Z</dcterms:created>
  <dcterms:modified xsi:type="dcterms:W3CDTF">2026-04-13T14:52:00Z</dcterms:modified>
</cp:coreProperties>
</file>